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2AF47" w14:textId="77777777" w:rsidR="001F0979" w:rsidRPr="00B273BC" w:rsidRDefault="001F0979" w:rsidP="001F0979">
      <w:pPr>
        <w:rPr>
          <w:rFonts w:ascii="Arial" w:hAnsi="Arial" w:cs="Arial"/>
          <w:b/>
          <w:bCs/>
          <w:color w:val="002060"/>
          <w:sz w:val="24"/>
          <w:szCs w:val="24"/>
          <w:lang w:val="en-GB"/>
        </w:rPr>
      </w:pPr>
      <w:bookmarkStart w:id="0" w:name="Legalinterventions"/>
      <w:r w:rsidRPr="00B273BC">
        <w:rPr>
          <w:rFonts w:ascii="Arial" w:hAnsi="Arial" w:cs="Arial"/>
          <w:b/>
          <w:bCs/>
          <w:color w:val="002060"/>
          <w:sz w:val="24"/>
          <w:szCs w:val="24"/>
          <w:lang w:val="en-GB"/>
        </w:rPr>
        <w:t>Possible Legal Interventions</w:t>
      </w:r>
    </w:p>
    <w:bookmarkEnd w:id="0"/>
    <w:p w14:paraId="245B2E9B" w14:textId="77777777" w:rsidR="001F0979" w:rsidRPr="00B273BC" w:rsidRDefault="001F0979" w:rsidP="001F0979">
      <w:pPr>
        <w:tabs>
          <w:tab w:val="num" w:pos="360"/>
        </w:tabs>
        <w:spacing w:after="0" w:line="240" w:lineRule="auto"/>
        <w:textAlignment w:val="baseline"/>
        <w:rPr>
          <w:rFonts w:ascii="Arial" w:eastAsia="Times New Roman" w:hAnsi="Arial" w:cs="Arial"/>
          <w:color w:val="002060"/>
          <w:sz w:val="24"/>
          <w:szCs w:val="24"/>
          <w:lang w:val="en-GB" w:eastAsia="en-GB"/>
        </w:rPr>
      </w:pPr>
      <w:r w:rsidRPr="00B273BC">
        <w:rPr>
          <w:rFonts w:ascii="Arial" w:eastAsia="Times New Roman" w:hAnsi="Arial" w:cs="Arial"/>
          <w:color w:val="002060"/>
          <w:sz w:val="24"/>
          <w:szCs w:val="24"/>
          <w:lang w:val="en-GB" w:eastAsia="en-GB"/>
        </w:rPr>
        <w:t xml:space="preserve">The essence of all the key legislation in the United Kingdom recognises and protects the rights and freedom of individuals to choose how they live their lives. Some legislation enables practitioners and organisations to limit or restrict this freedom and choice in certain circumstances such as where the individual’s safety or the safety of others need </w:t>
      </w:r>
      <w:proofErr w:type="gramStart"/>
      <w:r w:rsidRPr="00B273BC">
        <w:rPr>
          <w:rFonts w:ascii="Arial" w:eastAsia="Times New Roman" w:hAnsi="Arial" w:cs="Arial"/>
          <w:color w:val="002060"/>
          <w:sz w:val="24"/>
          <w:szCs w:val="24"/>
          <w:lang w:val="en-GB" w:eastAsia="en-GB"/>
        </w:rPr>
        <w:t>protection</w:t>
      </w:r>
      <w:proofErr w:type="gramEnd"/>
      <w:r w:rsidRPr="00B273BC">
        <w:rPr>
          <w:rFonts w:ascii="Arial" w:eastAsia="Times New Roman" w:hAnsi="Arial" w:cs="Arial"/>
          <w:color w:val="002060"/>
          <w:sz w:val="24"/>
          <w:szCs w:val="24"/>
          <w:lang w:val="en-GB" w:eastAsia="en-GB"/>
        </w:rPr>
        <w:t xml:space="preserve"> or a law is broken. When limitation or restriction takes place, the response must be balanced and </w:t>
      </w:r>
      <w:r>
        <w:rPr>
          <w:rFonts w:ascii="Arial" w:eastAsia="Times New Roman" w:hAnsi="Arial" w:cs="Arial"/>
          <w:color w:val="002060"/>
          <w:sz w:val="24"/>
          <w:szCs w:val="24"/>
          <w:lang w:val="en-GB" w:eastAsia="en-GB"/>
        </w:rPr>
        <w:t>proportionate</w:t>
      </w:r>
      <w:r w:rsidRPr="00B273BC">
        <w:rPr>
          <w:rFonts w:ascii="Arial" w:eastAsia="Times New Roman" w:hAnsi="Arial" w:cs="Arial"/>
          <w:color w:val="002060"/>
          <w:sz w:val="24"/>
          <w:szCs w:val="24"/>
          <w:lang w:val="en-GB" w:eastAsia="en-GB"/>
        </w:rPr>
        <w:t xml:space="preserve"> to the risk(s) to </w:t>
      </w:r>
      <w:r>
        <w:rPr>
          <w:rFonts w:ascii="Arial" w:eastAsia="Times New Roman" w:hAnsi="Arial" w:cs="Arial"/>
          <w:color w:val="002060"/>
          <w:sz w:val="24"/>
          <w:szCs w:val="24"/>
          <w:lang w:val="en-GB" w:eastAsia="en-GB"/>
        </w:rPr>
        <w:t xml:space="preserve">the </w:t>
      </w:r>
      <w:r w:rsidRPr="00B273BC">
        <w:rPr>
          <w:rFonts w:ascii="Arial" w:eastAsia="Times New Roman" w:hAnsi="Arial" w:cs="Arial"/>
          <w:color w:val="002060"/>
          <w:sz w:val="24"/>
          <w:szCs w:val="24"/>
          <w:lang w:val="en-GB" w:eastAsia="en-GB"/>
        </w:rPr>
        <w:t>individual and public safety and the law.  All professionals must adhere to the Humans Rights Act (1998).  Article 2 Right to life and Article 8 Right to respect for private and family life are particularly relevant to people who self-neglect.</w:t>
      </w:r>
    </w:p>
    <w:p w14:paraId="5917B4CB" w14:textId="77777777" w:rsidR="001F0979" w:rsidRPr="00B273BC" w:rsidRDefault="001F0979" w:rsidP="001F0979">
      <w:pPr>
        <w:spacing w:after="0" w:line="240" w:lineRule="auto"/>
        <w:ind w:left="720"/>
        <w:textAlignment w:val="baseline"/>
        <w:rPr>
          <w:rFonts w:ascii="Arial" w:eastAsia="Times New Roman" w:hAnsi="Arial" w:cs="Arial"/>
          <w:color w:val="002060"/>
          <w:sz w:val="24"/>
          <w:szCs w:val="24"/>
          <w:lang w:val="en-GB" w:eastAsia="en-GB"/>
        </w:rPr>
      </w:pPr>
      <w:r w:rsidRPr="00B273BC">
        <w:rPr>
          <w:rFonts w:ascii="Arial" w:eastAsia="Times New Roman" w:hAnsi="Arial" w:cs="Arial"/>
          <w:color w:val="002060"/>
          <w:sz w:val="24"/>
          <w:szCs w:val="24"/>
          <w:lang w:val="en-GB" w:eastAsia="en-GB"/>
        </w:rPr>
        <w:t> </w:t>
      </w:r>
    </w:p>
    <w:p w14:paraId="7D7FAA55" w14:textId="77777777" w:rsidR="001F0979" w:rsidRPr="00B273BC" w:rsidRDefault="001F0979" w:rsidP="001F0979">
      <w:pPr>
        <w:tabs>
          <w:tab w:val="num" w:pos="360"/>
        </w:tabs>
        <w:spacing w:after="0" w:line="240" w:lineRule="auto"/>
        <w:textAlignment w:val="baseline"/>
        <w:rPr>
          <w:rFonts w:ascii="Arial" w:eastAsia="Times New Roman" w:hAnsi="Arial" w:cs="Arial"/>
          <w:color w:val="002060"/>
          <w:sz w:val="24"/>
          <w:szCs w:val="24"/>
          <w:lang w:val="en-GB" w:eastAsia="en-GB"/>
        </w:rPr>
      </w:pPr>
      <w:r w:rsidRPr="00B273BC">
        <w:rPr>
          <w:rFonts w:ascii="Arial" w:eastAsia="Times New Roman" w:hAnsi="Arial" w:cs="Arial"/>
          <w:color w:val="002060"/>
          <w:sz w:val="24"/>
          <w:szCs w:val="24"/>
          <w:lang w:val="en-GB" w:eastAsia="en-GB"/>
        </w:rPr>
        <w:t>In the case of self-neglect, legal interventions can reduce the imminence of risk of serious harm to the individual or others. However, they can also often be limited in their application or impact on the adult and only offer a short-term solution to temporarily disrupt behaviour or reduce risk. Legal interventions and coercive measures alone will not reduce the risk of self-neglect in the longer term; and may not stop behaviours leading to self-neglect (such as hoarding) in the longer term; and in some situations, can make it worse.  </w:t>
      </w:r>
    </w:p>
    <w:p w14:paraId="25B66FDF" w14:textId="77777777" w:rsidR="001F0979" w:rsidRPr="00B273BC" w:rsidRDefault="001F0979" w:rsidP="001F0979">
      <w:pPr>
        <w:spacing w:after="0" w:line="240" w:lineRule="auto"/>
        <w:ind w:left="720"/>
        <w:textAlignment w:val="baseline"/>
        <w:rPr>
          <w:rFonts w:ascii="Arial" w:eastAsia="Times New Roman" w:hAnsi="Arial" w:cs="Arial"/>
          <w:color w:val="002060"/>
          <w:sz w:val="24"/>
          <w:szCs w:val="24"/>
          <w:lang w:val="en-GB" w:eastAsia="en-GB"/>
        </w:rPr>
      </w:pPr>
      <w:r w:rsidRPr="00B273BC">
        <w:rPr>
          <w:rFonts w:ascii="Arial" w:eastAsia="Times New Roman" w:hAnsi="Arial" w:cs="Arial"/>
          <w:color w:val="002060"/>
          <w:sz w:val="24"/>
          <w:szCs w:val="24"/>
          <w:lang w:val="en-GB" w:eastAsia="en-GB"/>
        </w:rPr>
        <w:t> </w:t>
      </w:r>
    </w:p>
    <w:p w14:paraId="62EE948D" w14:textId="77777777" w:rsidR="001F0979" w:rsidRPr="00B273BC" w:rsidRDefault="001F0979" w:rsidP="001F0979">
      <w:pPr>
        <w:tabs>
          <w:tab w:val="num" w:pos="360"/>
        </w:tabs>
        <w:spacing w:after="0" w:line="240" w:lineRule="auto"/>
        <w:textAlignment w:val="baseline"/>
        <w:rPr>
          <w:rFonts w:ascii="Arial" w:eastAsia="Times New Roman" w:hAnsi="Arial" w:cs="Arial"/>
          <w:color w:val="002060"/>
          <w:sz w:val="24"/>
          <w:szCs w:val="24"/>
          <w:lang w:val="en-GB" w:eastAsia="en-GB"/>
        </w:rPr>
      </w:pPr>
      <w:r w:rsidRPr="00B273BC">
        <w:rPr>
          <w:rFonts w:ascii="Arial" w:eastAsia="Times New Roman" w:hAnsi="Arial" w:cs="Arial"/>
          <w:color w:val="002060"/>
          <w:sz w:val="24"/>
          <w:szCs w:val="24"/>
          <w:lang w:val="en-GB" w:eastAsia="en-GB"/>
        </w:rPr>
        <w:t>Research indicates a strong preference to seek voluntary solutions over enforcement, where possible, through engagement with and respectful persuasion of the individual. Additionally, it is desirable for any “legal interventions to take place through a coordinated sequence of actions between agencies so that support [can] be provided even while enforced intervention [takes] place” (Braye et al: 2015).  </w:t>
      </w:r>
    </w:p>
    <w:p w14:paraId="75C5DD8E" w14:textId="77777777" w:rsidR="001F0979" w:rsidRPr="00B273BC" w:rsidRDefault="001F0979" w:rsidP="001F0979">
      <w:pPr>
        <w:rPr>
          <w:color w:val="002060"/>
          <w:lang w:val="en-GB"/>
        </w:rPr>
      </w:pPr>
    </w:p>
    <w:tbl>
      <w:tblPr>
        <w:tblStyle w:val="TableGrid3"/>
        <w:tblW w:w="0" w:type="auto"/>
        <w:tblInd w:w="-289" w:type="dxa"/>
        <w:tblLook w:val="04A0" w:firstRow="1" w:lastRow="0" w:firstColumn="1" w:lastColumn="0" w:noHBand="0" w:noVBand="1"/>
      </w:tblPr>
      <w:tblGrid>
        <w:gridCol w:w="3828"/>
        <w:gridCol w:w="5245"/>
        <w:gridCol w:w="5164"/>
      </w:tblGrid>
      <w:tr w:rsidR="001F0979" w:rsidRPr="00B273BC" w14:paraId="38A18BD5" w14:textId="77777777" w:rsidTr="00B46925">
        <w:tc>
          <w:tcPr>
            <w:tcW w:w="3828" w:type="dxa"/>
          </w:tcPr>
          <w:p w14:paraId="42D185D9" w14:textId="77777777" w:rsidR="001F0979" w:rsidRPr="00B273BC" w:rsidRDefault="001F0979" w:rsidP="00B46925">
            <w:pPr>
              <w:jc w:val="center"/>
              <w:rPr>
                <w:rFonts w:ascii="Arial" w:hAnsi="Arial" w:cs="Arial"/>
                <w:b/>
                <w:bCs/>
                <w:color w:val="002060"/>
                <w:sz w:val="24"/>
                <w:szCs w:val="24"/>
                <w:lang w:val="en-GB"/>
              </w:rPr>
            </w:pPr>
            <w:r w:rsidRPr="00B273BC">
              <w:rPr>
                <w:rFonts w:ascii="Arial" w:hAnsi="Arial" w:cs="Arial"/>
                <w:b/>
                <w:bCs/>
                <w:color w:val="002060"/>
                <w:sz w:val="24"/>
                <w:szCs w:val="24"/>
                <w:lang w:val="en-GB"/>
              </w:rPr>
              <w:t>Agency</w:t>
            </w:r>
          </w:p>
        </w:tc>
        <w:tc>
          <w:tcPr>
            <w:tcW w:w="5245" w:type="dxa"/>
          </w:tcPr>
          <w:p w14:paraId="7B08BA02" w14:textId="77777777" w:rsidR="001F0979" w:rsidRPr="00B273BC" w:rsidRDefault="001F0979" w:rsidP="00B46925">
            <w:pPr>
              <w:jc w:val="center"/>
              <w:rPr>
                <w:rFonts w:ascii="Arial" w:hAnsi="Arial" w:cs="Arial"/>
                <w:b/>
                <w:bCs/>
                <w:color w:val="002060"/>
                <w:sz w:val="24"/>
                <w:szCs w:val="24"/>
                <w:lang w:val="en-GB"/>
              </w:rPr>
            </w:pPr>
            <w:r w:rsidRPr="00B273BC">
              <w:rPr>
                <w:rFonts w:ascii="Arial" w:hAnsi="Arial" w:cs="Arial"/>
                <w:b/>
                <w:bCs/>
                <w:color w:val="002060"/>
                <w:sz w:val="24"/>
                <w:szCs w:val="24"/>
                <w:lang w:val="en-GB"/>
              </w:rPr>
              <w:t>Legal Power and Action</w:t>
            </w:r>
          </w:p>
        </w:tc>
        <w:tc>
          <w:tcPr>
            <w:tcW w:w="5164" w:type="dxa"/>
          </w:tcPr>
          <w:p w14:paraId="18D4D950" w14:textId="77777777" w:rsidR="001F0979" w:rsidRPr="00B273BC" w:rsidRDefault="001F0979" w:rsidP="00B46925">
            <w:pPr>
              <w:jc w:val="center"/>
              <w:rPr>
                <w:rFonts w:ascii="Arial" w:hAnsi="Arial" w:cs="Arial"/>
                <w:b/>
                <w:bCs/>
                <w:color w:val="002060"/>
                <w:sz w:val="24"/>
                <w:szCs w:val="24"/>
                <w:lang w:val="en-GB"/>
              </w:rPr>
            </w:pPr>
            <w:r w:rsidRPr="00B273BC">
              <w:rPr>
                <w:rFonts w:ascii="Arial" w:hAnsi="Arial" w:cs="Arial"/>
                <w:b/>
                <w:bCs/>
                <w:color w:val="002060"/>
                <w:sz w:val="24"/>
                <w:szCs w:val="24"/>
                <w:lang w:val="en-GB"/>
              </w:rPr>
              <w:t>Circumstances requiring intervention</w:t>
            </w:r>
          </w:p>
        </w:tc>
      </w:tr>
      <w:tr w:rsidR="001F0979" w:rsidRPr="00B273BC" w14:paraId="52514AE2" w14:textId="77777777" w:rsidTr="00B46925">
        <w:tc>
          <w:tcPr>
            <w:tcW w:w="3828" w:type="dxa"/>
            <w:vMerge w:val="restart"/>
          </w:tcPr>
          <w:p w14:paraId="287E45F1"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Local Authority Services</w:t>
            </w:r>
          </w:p>
        </w:tc>
        <w:tc>
          <w:tcPr>
            <w:tcW w:w="5245" w:type="dxa"/>
          </w:tcPr>
          <w:p w14:paraId="0F4E070B" w14:textId="77777777" w:rsidR="001F0979" w:rsidRPr="00B273BC" w:rsidRDefault="001F0979" w:rsidP="00B46925">
            <w:pPr>
              <w:rPr>
                <w:rFonts w:ascii="Arial" w:eastAsia="Arial" w:hAnsi="Arial" w:cs="Arial"/>
                <w:b/>
                <w:color w:val="002060"/>
                <w:sz w:val="24"/>
                <w:szCs w:val="24"/>
                <w:lang w:val="en-GB"/>
              </w:rPr>
            </w:pPr>
            <w:r w:rsidRPr="00B273BC">
              <w:rPr>
                <w:rFonts w:ascii="Arial" w:eastAsia="Arial" w:hAnsi="Arial" w:cs="Arial"/>
                <w:b/>
                <w:color w:val="002060"/>
                <w:sz w:val="24"/>
                <w:szCs w:val="24"/>
                <w:lang w:val="en-GB"/>
              </w:rPr>
              <w:t>Powers of Entry/Warrant s.287 Public Health Act 1936</w:t>
            </w:r>
          </w:p>
          <w:p w14:paraId="3F70F854" w14:textId="77777777" w:rsidR="001F0979" w:rsidRPr="00B273BC" w:rsidRDefault="001F0979" w:rsidP="00B46925">
            <w:pPr>
              <w:ind w:left="1"/>
              <w:rPr>
                <w:rFonts w:ascii="Arial" w:eastAsia="Arial" w:hAnsi="Arial" w:cs="Arial"/>
                <w:b/>
                <w:color w:val="002060"/>
                <w:sz w:val="24"/>
                <w:szCs w:val="24"/>
                <w:lang w:val="en-GB"/>
              </w:rPr>
            </w:pPr>
            <w:r w:rsidRPr="00B273BC">
              <w:rPr>
                <w:rFonts w:ascii="Arial" w:hAnsi="Arial" w:cs="Arial"/>
                <w:color w:val="002060"/>
                <w:sz w:val="24"/>
                <w:szCs w:val="24"/>
                <w:lang w:val="en-GB"/>
              </w:rPr>
              <w:t>Power to gain entry for examination or to execute necessary works under PHA. Police attendance required for forced entry.</w:t>
            </w:r>
          </w:p>
          <w:p w14:paraId="6BF3855B" w14:textId="77777777" w:rsidR="001F0979" w:rsidRPr="00B273BC" w:rsidRDefault="001F0979" w:rsidP="00B46925">
            <w:pPr>
              <w:rPr>
                <w:rFonts w:ascii="Arial" w:hAnsi="Arial" w:cs="Arial"/>
                <w:color w:val="002060"/>
                <w:sz w:val="24"/>
                <w:szCs w:val="24"/>
                <w:lang w:val="en-GB"/>
              </w:rPr>
            </w:pPr>
          </w:p>
        </w:tc>
        <w:tc>
          <w:tcPr>
            <w:tcW w:w="5164" w:type="dxa"/>
          </w:tcPr>
          <w:p w14:paraId="784FE1E6" w14:textId="77777777" w:rsidR="001F0979" w:rsidRPr="00B273BC" w:rsidRDefault="001F0979" w:rsidP="00B46925">
            <w:pPr>
              <w:rPr>
                <w:rFonts w:ascii="Arial" w:eastAsia="Arial" w:hAnsi="Arial" w:cs="Arial"/>
                <w:b/>
                <w:color w:val="002060"/>
                <w:sz w:val="24"/>
                <w:szCs w:val="24"/>
                <w:lang w:val="en-GB"/>
              </w:rPr>
            </w:pPr>
            <w:r w:rsidRPr="00B273BC">
              <w:rPr>
                <w:rFonts w:ascii="Arial" w:hAnsi="Arial" w:cs="Arial"/>
                <w:b/>
                <w:bCs/>
                <w:color w:val="002060"/>
                <w:sz w:val="24"/>
                <w:szCs w:val="24"/>
                <w:lang w:val="en-GB"/>
              </w:rPr>
              <w:t>Non-engagement of person</w:t>
            </w:r>
            <w:r w:rsidRPr="00B273BC">
              <w:rPr>
                <w:rFonts w:ascii="Arial" w:hAnsi="Arial" w:cs="Arial"/>
                <w:color w:val="002060"/>
                <w:sz w:val="24"/>
                <w:szCs w:val="24"/>
                <w:lang w:val="en-GB"/>
              </w:rPr>
              <w:t>. Applies to both Freehold and Leasehold property. Entry for examination / execution of necessary works.</w:t>
            </w:r>
          </w:p>
          <w:p w14:paraId="2B9A3FD9" w14:textId="77777777" w:rsidR="001F0979" w:rsidRPr="00B273BC" w:rsidRDefault="001F0979" w:rsidP="00B46925">
            <w:pPr>
              <w:ind w:left="2"/>
              <w:rPr>
                <w:rFonts w:ascii="Arial" w:eastAsia="Arial" w:hAnsi="Arial" w:cs="Arial"/>
                <w:b/>
                <w:color w:val="002060"/>
                <w:sz w:val="24"/>
                <w:szCs w:val="24"/>
                <w:lang w:val="en-GB"/>
              </w:rPr>
            </w:pPr>
          </w:p>
          <w:p w14:paraId="57903515" w14:textId="77777777" w:rsidR="001F0979" w:rsidRPr="00B273BC" w:rsidRDefault="001F0979" w:rsidP="00B46925">
            <w:pPr>
              <w:rPr>
                <w:rFonts w:ascii="Arial" w:hAnsi="Arial" w:cs="Arial"/>
                <w:color w:val="002060"/>
                <w:sz w:val="24"/>
                <w:szCs w:val="24"/>
                <w:lang w:val="en-GB"/>
              </w:rPr>
            </w:pPr>
          </w:p>
        </w:tc>
      </w:tr>
      <w:tr w:rsidR="001F0979" w:rsidRPr="00B273BC" w14:paraId="5703183E" w14:textId="77777777" w:rsidTr="00B46925">
        <w:tc>
          <w:tcPr>
            <w:tcW w:w="3828" w:type="dxa"/>
            <w:vMerge/>
          </w:tcPr>
          <w:p w14:paraId="13B29B4B" w14:textId="77777777" w:rsidR="001F0979" w:rsidRPr="00B273BC" w:rsidRDefault="001F0979" w:rsidP="00B46925">
            <w:pPr>
              <w:rPr>
                <w:color w:val="002060"/>
                <w:lang w:val="en-GB"/>
              </w:rPr>
            </w:pPr>
          </w:p>
        </w:tc>
        <w:tc>
          <w:tcPr>
            <w:tcW w:w="5245" w:type="dxa"/>
          </w:tcPr>
          <w:p w14:paraId="45FC41E5" w14:textId="77777777" w:rsidR="001F0979" w:rsidRPr="00B273BC" w:rsidRDefault="001F0979" w:rsidP="00B46925">
            <w:pPr>
              <w:ind w:left="1"/>
              <w:rPr>
                <w:rFonts w:ascii="Arial" w:eastAsia="Arial" w:hAnsi="Arial" w:cs="Arial"/>
                <w:b/>
                <w:color w:val="002060"/>
                <w:sz w:val="24"/>
                <w:szCs w:val="24"/>
                <w:lang w:val="en-GB"/>
              </w:rPr>
            </w:pPr>
            <w:r w:rsidRPr="00B273BC">
              <w:rPr>
                <w:rFonts w:ascii="Arial" w:eastAsia="Arial" w:hAnsi="Arial" w:cs="Arial"/>
                <w:b/>
                <w:color w:val="002060"/>
                <w:sz w:val="24"/>
                <w:szCs w:val="24"/>
                <w:lang w:val="en-GB"/>
              </w:rPr>
              <w:t>Power of Entry/Warrant s. 239/240 Public Health Act 1939.</w:t>
            </w:r>
          </w:p>
          <w:p w14:paraId="7978CA20" w14:textId="77777777" w:rsidR="001F0979" w:rsidRPr="00B273BC" w:rsidRDefault="001F0979" w:rsidP="00B46925">
            <w:pPr>
              <w:ind w:left="1"/>
              <w:rPr>
                <w:rFonts w:ascii="Arial" w:eastAsia="Arial" w:hAnsi="Arial" w:cs="Arial"/>
                <w:bCs/>
                <w:color w:val="002060"/>
                <w:sz w:val="24"/>
                <w:szCs w:val="24"/>
                <w:lang w:val="en-GB"/>
              </w:rPr>
            </w:pPr>
            <w:r w:rsidRPr="00B273BC">
              <w:rPr>
                <w:rFonts w:ascii="Arial" w:eastAsia="Arial" w:hAnsi="Arial" w:cs="Arial"/>
                <w:bCs/>
                <w:color w:val="002060"/>
                <w:sz w:val="24"/>
                <w:szCs w:val="24"/>
                <w:lang w:val="en-GB"/>
              </w:rPr>
              <w:t xml:space="preserve">Environmental Health Officer to apply to Magistrate.  Good reason to force entry will be </w:t>
            </w:r>
            <w:r w:rsidRPr="00B273BC">
              <w:rPr>
                <w:rFonts w:ascii="Arial" w:eastAsia="Arial" w:hAnsi="Arial" w:cs="Arial"/>
                <w:bCs/>
                <w:color w:val="002060"/>
                <w:sz w:val="24"/>
                <w:szCs w:val="24"/>
                <w:lang w:val="en-GB"/>
              </w:rPr>
              <w:lastRenderedPageBreak/>
              <w:t>required (all party evidence gathered) Police attendance required.</w:t>
            </w:r>
          </w:p>
        </w:tc>
        <w:tc>
          <w:tcPr>
            <w:tcW w:w="5164" w:type="dxa"/>
          </w:tcPr>
          <w:p w14:paraId="29EF28F5" w14:textId="77777777" w:rsidR="001F0979" w:rsidRPr="00B273BC" w:rsidRDefault="001F0979" w:rsidP="00B46925">
            <w:pPr>
              <w:rPr>
                <w:rFonts w:ascii="Arial" w:eastAsia="Arial" w:hAnsi="Arial" w:cs="Arial"/>
                <w:bCs/>
                <w:color w:val="002060"/>
                <w:sz w:val="24"/>
                <w:szCs w:val="24"/>
                <w:lang w:val="en-GB"/>
              </w:rPr>
            </w:pPr>
            <w:r w:rsidRPr="00B273BC">
              <w:rPr>
                <w:rFonts w:ascii="Arial" w:eastAsia="Arial" w:hAnsi="Arial" w:cs="Arial"/>
                <w:b/>
                <w:color w:val="002060"/>
                <w:sz w:val="24"/>
                <w:szCs w:val="24"/>
                <w:lang w:val="en-GB"/>
              </w:rPr>
              <w:lastRenderedPageBreak/>
              <w:t>Non-e</w:t>
            </w:r>
            <w:r>
              <w:rPr>
                <w:rFonts w:ascii="Arial" w:eastAsia="Arial" w:hAnsi="Arial" w:cs="Arial"/>
                <w:b/>
                <w:color w:val="002060"/>
                <w:sz w:val="24"/>
                <w:szCs w:val="24"/>
                <w:lang w:val="en-GB"/>
              </w:rPr>
              <w:t>n</w:t>
            </w:r>
            <w:r w:rsidRPr="00B273BC">
              <w:rPr>
                <w:rFonts w:ascii="Arial" w:eastAsia="Arial" w:hAnsi="Arial" w:cs="Arial"/>
                <w:b/>
                <w:color w:val="002060"/>
                <w:sz w:val="24"/>
                <w:szCs w:val="24"/>
                <w:lang w:val="en-GB"/>
              </w:rPr>
              <w:t xml:space="preserve">gagement of person/entry previously denied. </w:t>
            </w:r>
            <w:r w:rsidRPr="00B273BC">
              <w:rPr>
                <w:rFonts w:ascii="Arial" w:eastAsia="Arial" w:hAnsi="Arial" w:cs="Arial"/>
                <w:bCs/>
                <w:color w:val="002060"/>
                <w:sz w:val="24"/>
                <w:szCs w:val="24"/>
                <w:lang w:val="en-GB"/>
              </w:rPr>
              <w:t xml:space="preserve">To survey and examine </w:t>
            </w:r>
            <w:r w:rsidRPr="00B273BC">
              <w:rPr>
                <w:rFonts w:ascii="Arial" w:hAnsi="Arial" w:cs="Arial"/>
                <w:color w:val="002060"/>
                <w:sz w:val="24"/>
                <w:szCs w:val="24"/>
                <w:lang w:val="en-GB"/>
              </w:rPr>
              <w:t>(All tenure including Leaseholders/ Freeholders)</w:t>
            </w:r>
          </w:p>
        </w:tc>
      </w:tr>
      <w:tr w:rsidR="001F0979" w:rsidRPr="00B273BC" w14:paraId="0BA7C181" w14:textId="77777777" w:rsidTr="00B46925">
        <w:tc>
          <w:tcPr>
            <w:tcW w:w="3828" w:type="dxa"/>
            <w:vMerge/>
          </w:tcPr>
          <w:p w14:paraId="2CC5E92D" w14:textId="77777777" w:rsidR="001F0979" w:rsidRPr="00B273BC" w:rsidRDefault="001F0979" w:rsidP="00B46925">
            <w:pPr>
              <w:rPr>
                <w:color w:val="002060"/>
                <w:lang w:val="en-GB"/>
              </w:rPr>
            </w:pPr>
          </w:p>
        </w:tc>
        <w:tc>
          <w:tcPr>
            <w:tcW w:w="5245" w:type="dxa"/>
          </w:tcPr>
          <w:p w14:paraId="3F8F3758" w14:textId="77777777" w:rsidR="001F0979" w:rsidRPr="00B273BC" w:rsidRDefault="001F0979" w:rsidP="00B46925">
            <w:pPr>
              <w:ind w:left="1"/>
              <w:rPr>
                <w:rFonts w:ascii="Arial" w:eastAsia="Arial" w:hAnsi="Arial" w:cs="Arial"/>
                <w:b/>
                <w:color w:val="002060"/>
                <w:sz w:val="24"/>
                <w:szCs w:val="24"/>
                <w:lang w:val="en-GB"/>
              </w:rPr>
            </w:pPr>
            <w:r w:rsidRPr="00B273BC">
              <w:rPr>
                <w:rFonts w:ascii="Arial" w:eastAsia="Arial" w:hAnsi="Arial" w:cs="Arial"/>
                <w:b/>
                <w:color w:val="002060"/>
                <w:sz w:val="24"/>
                <w:szCs w:val="24"/>
                <w:lang w:val="en-GB"/>
              </w:rPr>
              <w:t>Enforcement Notice s.83/s84 Public Health Act 1936</w:t>
            </w:r>
          </w:p>
          <w:p w14:paraId="744AF632" w14:textId="77777777" w:rsidR="001F0979" w:rsidRPr="00B273BC" w:rsidRDefault="001F0979" w:rsidP="00B46925">
            <w:pPr>
              <w:ind w:left="1"/>
              <w:rPr>
                <w:rFonts w:ascii="Arial" w:eastAsia="Arial" w:hAnsi="Arial" w:cs="Arial"/>
                <w:b/>
                <w:color w:val="002060"/>
                <w:sz w:val="24"/>
                <w:szCs w:val="24"/>
                <w:lang w:val="en-GB"/>
              </w:rPr>
            </w:pPr>
            <w:r w:rsidRPr="00B273BC">
              <w:rPr>
                <w:rFonts w:ascii="Arial" w:hAnsi="Arial" w:cs="Arial"/>
                <w:color w:val="002060"/>
                <w:sz w:val="24"/>
                <w:szCs w:val="24"/>
                <w:lang w:val="en-GB"/>
              </w:rPr>
              <w:t>Notice requires person served to comply. Failure to do so can lead to council carrying out requirements, at own expense; though can recover expenses that were reasonably incurred.</w:t>
            </w:r>
          </w:p>
          <w:p w14:paraId="7AD3C416" w14:textId="77777777" w:rsidR="001F0979" w:rsidRPr="00B273BC" w:rsidRDefault="001F0979" w:rsidP="00B46925">
            <w:pPr>
              <w:rPr>
                <w:color w:val="002060"/>
                <w:lang w:val="en-GB"/>
              </w:rPr>
            </w:pPr>
          </w:p>
        </w:tc>
        <w:tc>
          <w:tcPr>
            <w:tcW w:w="5164" w:type="dxa"/>
          </w:tcPr>
          <w:p w14:paraId="29167DCC" w14:textId="77777777" w:rsidR="001F0979" w:rsidRPr="00B273BC" w:rsidRDefault="001F0979" w:rsidP="00B46925">
            <w:pPr>
              <w:rPr>
                <w:rFonts w:ascii="Arial" w:eastAsia="Arial" w:hAnsi="Arial" w:cs="Arial"/>
                <w:color w:val="002060"/>
                <w:sz w:val="24"/>
                <w:szCs w:val="24"/>
                <w:lang w:val="en-GB"/>
              </w:rPr>
            </w:pPr>
            <w:r w:rsidRPr="00B273BC">
              <w:rPr>
                <w:rFonts w:ascii="Arial" w:eastAsia="Arial" w:hAnsi="Arial" w:cs="Arial"/>
                <w:b/>
                <w:color w:val="002060"/>
                <w:sz w:val="24"/>
                <w:szCs w:val="24"/>
                <w:lang w:val="en-GB"/>
              </w:rPr>
              <w:t xml:space="preserve">Cleansing of Filthy or Verminous Premises/ Articles </w:t>
            </w:r>
            <w:r w:rsidRPr="00B273BC">
              <w:rPr>
                <w:rFonts w:ascii="Arial" w:hAnsi="Arial" w:cs="Arial"/>
                <w:color w:val="002060"/>
                <w:sz w:val="24"/>
                <w:szCs w:val="24"/>
                <w:lang w:val="en-GB"/>
              </w:rPr>
              <w:t>Filthy or unwholesome condition of premises (articles requiring cleansing or destruction) Prevention of injury or danger to person served. Applies to Freehold/Leasehold property – occupied or unoccupied.</w:t>
            </w:r>
          </w:p>
          <w:p w14:paraId="5EE4D40C" w14:textId="77777777" w:rsidR="001F0979" w:rsidRPr="00B273BC" w:rsidRDefault="001F0979" w:rsidP="00B46925">
            <w:pPr>
              <w:rPr>
                <w:color w:val="002060"/>
                <w:lang w:val="en-GB"/>
              </w:rPr>
            </w:pPr>
          </w:p>
        </w:tc>
      </w:tr>
      <w:tr w:rsidR="001F0979" w:rsidRPr="00B273BC" w14:paraId="5E77421F" w14:textId="77777777" w:rsidTr="00B46925">
        <w:tc>
          <w:tcPr>
            <w:tcW w:w="3828" w:type="dxa"/>
            <w:vMerge/>
          </w:tcPr>
          <w:p w14:paraId="3DB72FFB" w14:textId="77777777" w:rsidR="001F0979" w:rsidRPr="00B273BC" w:rsidRDefault="001F0979" w:rsidP="00B46925">
            <w:pPr>
              <w:rPr>
                <w:color w:val="002060"/>
                <w:lang w:val="en-GB"/>
              </w:rPr>
            </w:pPr>
          </w:p>
        </w:tc>
        <w:tc>
          <w:tcPr>
            <w:tcW w:w="5245" w:type="dxa"/>
            <w:tcBorders>
              <w:bottom w:val="single" w:sz="4" w:space="0" w:color="auto"/>
            </w:tcBorders>
          </w:tcPr>
          <w:p w14:paraId="37B879EA"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Abatement Notice s.80 Environmental Protection Act 1990. Dealing with a Statutory Nuisance</w:t>
            </w:r>
          </w:p>
          <w:p w14:paraId="3B29D5A8" w14:textId="77777777" w:rsidR="001F0979" w:rsidRPr="00B273BC" w:rsidRDefault="001F0979" w:rsidP="00B46925">
            <w:pPr>
              <w:rPr>
                <w:color w:val="002060"/>
                <w:lang w:val="en-GB"/>
              </w:rPr>
            </w:pPr>
          </w:p>
        </w:tc>
        <w:tc>
          <w:tcPr>
            <w:tcW w:w="5164" w:type="dxa"/>
            <w:tcBorders>
              <w:bottom w:val="single" w:sz="4" w:space="0" w:color="auto"/>
            </w:tcBorders>
          </w:tcPr>
          <w:p w14:paraId="4EF66B17"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Powers to deal with any premises in such a state as to be prejudicial to health or a nuisance.</w:t>
            </w:r>
          </w:p>
        </w:tc>
      </w:tr>
      <w:tr w:rsidR="001F0979" w:rsidRPr="00B273BC" w14:paraId="6D9FAF2A" w14:textId="77777777" w:rsidTr="00B46925">
        <w:tc>
          <w:tcPr>
            <w:tcW w:w="3828" w:type="dxa"/>
            <w:vMerge/>
          </w:tcPr>
          <w:p w14:paraId="20308744" w14:textId="77777777" w:rsidR="001F0979" w:rsidRPr="00B273BC" w:rsidRDefault="001F0979" w:rsidP="00B46925">
            <w:pPr>
              <w:rPr>
                <w:color w:val="002060"/>
                <w:lang w:val="en-GB"/>
              </w:rPr>
            </w:pPr>
          </w:p>
        </w:tc>
        <w:tc>
          <w:tcPr>
            <w:tcW w:w="5245" w:type="dxa"/>
            <w:tcBorders>
              <w:top w:val="single" w:sz="4" w:space="0" w:color="auto"/>
              <w:bottom w:val="single" w:sz="4" w:space="0" w:color="auto"/>
              <w:right w:val="single" w:sz="4" w:space="0" w:color="auto"/>
            </w:tcBorders>
          </w:tcPr>
          <w:p w14:paraId="00C1F3AE" w14:textId="77777777" w:rsidR="001F0979" w:rsidRPr="00B273BC" w:rsidRDefault="001F0979" w:rsidP="00B46925">
            <w:pPr>
              <w:rPr>
                <w:rFonts w:ascii="Arial" w:hAnsi="Arial" w:cs="Arial"/>
                <w:color w:val="002060"/>
                <w:sz w:val="24"/>
                <w:szCs w:val="24"/>
                <w:lang w:val="en-GB"/>
              </w:rPr>
            </w:pPr>
            <w:r w:rsidRPr="00B273BC">
              <w:rPr>
                <w:rFonts w:ascii="Arial" w:hAnsi="Arial" w:cs="Arial"/>
                <w:b/>
                <w:bCs/>
                <w:color w:val="002060"/>
                <w:sz w:val="24"/>
                <w:szCs w:val="24"/>
                <w:lang w:val="en-GB"/>
              </w:rPr>
              <w:t>Enforcement Notice s.4 Prevention of Damage by Pests Act 1949.</w:t>
            </w:r>
            <w:r w:rsidRPr="00B273BC">
              <w:rPr>
                <w:rFonts w:ascii="Arial" w:hAnsi="Arial" w:cs="Arial"/>
                <w:color w:val="002060"/>
                <w:sz w:val="24"/>
                <w:szCs w:val="24"/>
                <w:lang w:val="en-GB"/>
              </w:rPr>
              <w:t xml:space="preserve">  Power to require action to prevent or treat rats and mice</w:t>
            </w:r>
          </w:p>
        </w:tc>
        <w:tc>
          <w:tcPr>
            <w:tcW w:w="5164" w:type="dxa"/>
            <w:tcBorders>
              <w:top w:val="single" w:sz="4" w:space="0" w:color="auto"/>
              <w:left w:val="single" w:sz="4" w:space="0" w:color="auto"/>
              <w:bottom w:val="single" w:sz="4" w:space="0" w:color="auto"/>
              <w:right w:val="single" w:sz="4" w:space="0" w:color="auto"/>
            </w:tcBorders>
          </w:tcPr>
          <w:p w14:paraId="2BAE01A0" w14:textId="77777777" w:rsidR="001F0979" w:rsidRPr="00B273BC" w:rsidRDefault="001F0979" w:rsidP="00B46925">
            <w:pPr>
              <w:rPr>
                <w:rFonts w:ascii="Arial" w:hAnsi="Arial" w:cs="Arial"/>
                <w:color w:val="002060"/>
                <w:sz w:val="24"/>
                <w:szCs w:val="24"/>
                <w:lang w:val="en-GB"/>
              </w:rPr>
            </w:pPr>
            <w:r w:rsidRPr="00B273BC">
              <w:rPr>
                <w:rFonts w:ascii="Arial" w:eastAsia="TTE2C29DE0t00" w:hAnsi="Arial" w:cs="Arial"/>
                <w:color w:val="002060"/>
                <w:sz w:val="24"/>
                <w:szCs w:val="24"/>
                <w:lang w:val="en-GB"/>
              </w:rPr>
              <w:t>Powers to require action such as the removal of materials providing food or harbourage to pests where there is evidence of rats or mice</w:t>
            </w:r>
            <w:r w:rsidRPr="00B273BC">
              <w:rPr>
                <w:rFonts w:ascii="Arial" w:hAnsi="Arial" w:cs="Arial"/>
                <w:color w:val="002060"/>
                <w:sz w:val="24"/>
                <w:szCs w:val="24"/>
                <w:lang w:val="en-GB"/>
              </w:rPr>
              <w:t xml:space="preserve"> (only on ‘land’ not ‘premises’ so not for internal infestations inside a property).</w:t>
            </w:r>
          </w:p>
          <w:p w14:paraId="4D811F6E" w14:textId="77777777" w:rsidR="001F0979" w:rsidRPr="00B273BC" w:rsidRDefault="001F0979" w:rsidP="00B46925">
            <w:pPr>
              <w:rPr>
                <w:color w:val="002060"/>
                <w:lang w:val="en-GB"/>
              </w:rPr>
            </w:pPr>
            <w:r w:rsidRPr="00B273BC">
              <w:rPr>
                <w:rFonts w:ascii="Arial" w:hAnsi="Arial" w:cs="Arial"/>
                <w:color w:val="002060"/>
                <w:sz w:val="24"/>
                <w:szCs w:val="24"/>
                <w:lang w:val="en-GB"/>
              </w:rPr>
              <w:t>Notice may be served, giving a reasonable time to carry out works to treat for rats/mice, remove materials that may feed or harbour them and carry out structural works. LA may carry out works in default and recover costs.</w:t>
            </w:r>
          </w:p>
        </w:tc>
      </w:tr>
      <w:tr w:rsidR="001F0979" w:rsidRPr="00B273BC" w14:paraId="37D11FA8" w14:textId="77777777" w:rsidTr="00B46925">
        <w:tc>
          <w:tcPr>
            <w:tcW w:w="3828" w:type="dxa"/>
            <w:vMerge/>
          </w:tcPr>
          <w:p w14:paraId="220FCB81" w14:textId="77777777" w:rsidR="001F0979" w:rsidRPr="00B273BC" w:rsidRDefault="001F0979" w:rsidP="00B46925">
            <w:pPr>
              <w:rPr>
                <w:color w:val="002060"/>
                <w:lang w:val="en-GB"/>
              </w:rPr>
            </w:pPr>
          </w:p>
        </w:tc>
        <w:tc>
          <w:tcPr>
            <w:tcW w:w="5245" w:type="dxa"/>
            <w:tcBorders>
              <w:top w:val="single" w:sz="4" w:space="0" w:color="auto"/>
              <w:bottom w:val="single" w:sz="4" w:space="0" w:color="auto"/>
              <w:right w:val="single" w:sz="4" w:space="0" w:color="auto"/>
            </w:tcBorders>
          </w:tcPr>
          <w:p w14:paraId="52FEE768"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 xml:space="preserve">Litter Cleaning Notice s.92a Environmental Protection Act 1990. </w:t>
            </w:r>
          </w:p>
          <w:p w14:paraId="18006EEE" w14:textId="77777777" w:rsidR="001F0979" w:rsidRPr="00B273BC" w:rsidRDefault="001F0979" w:rsidP="00B46925">
            <w:pPr>
              <w:rPr>
                <w:rFonts w:ascii="Arial" w:hAnsi="Arial" w:cs="Arial"/>
                <w:b/>
                <w:bCs/>
                <w:color w:val="002060"/>
                <w:sz w:val="24"/>
                <w:szCs w:val="24"/>
                <w:lang w:val="en-GB"/>
              </w:rPr>
            </w:pPr>
          </w:p>
          <w:p w14:paraId="63AC5462" w14:textId="77777777" w:rsidR="001F0979" w:rsidRPr="00B273BC" w:rsidRDefault="001F0979" w:rsidP="00B46925">
            <w:pPr>
              <w:rPr>
                <w:rFonts w:ascii="Arial" w:hAnsi="Arial" w:cs="Arial"/>
                <w:color w:val="002060"/>
                <w:sz w:val="24"/>
                <w:szCs w:val="24"/>
                <w:lang w:val="en-GB"/>
              </w:rPr>
            </w:pPr>
            <w:r w:rsidRPr="00B273BC">
              <w:rPr>
                <w:rFonts w:ascii="Arial" w:hAnsi="Arial" w:cs="Arial"/>
                <w:color w:val="002060"/>
                <w:sz w:val="24"/>
                <w:szCs w:val="24"/>
                <w:lang w:val="en-GB"/>
              </w:rPr>
              <w:t>This may be more appropriate than those above in some circumstances.</w:t>
            </w:r>
          </w:p>
        </w:tc>
        <w:tc>
          <w:tcPr>
            <w:tcW w:w="5164" w:type="dxa"/>
            <w:tcBorders>
              <w:top w:val="single" w:sz="4" w:space="0" w:color="auto"/>
              <w:left w:val="single" w:sz="4" w:space="0" w:color="auto"/>
              <w:bottom w:val="single" w:sz="4" w:space="0" w:color="auto"/>
              <w:right w:val="single" w:sz="4" w:space="0" w:color="auto"/>
            </w:tcBorders>
          </w:tcPr>
          <w:p w14:paraId="652E2F15" w14:textId="77777777" w:rsidR="001F0979" w:rsidRPr="00B273BC" w:rsidRDefault="001F0979" w:rsidP="00B46925">
            <w:pPr>
              <w:rPr>
                <w:rFonts w:ascii="Arial" w:hAnsi="Arial" w:cs="Arial"/>
                <w:color w:val="002060"/>
                <w:sz w:val="24"/>
                <w:szCs w:val="24"/>
                <w:lang w:val="en-GB"/>
              </w:rPr>
            </w:pPr>
            <w:r w:rsidRPr="00B273BC">
              <w:rPr>
                <w:rFonts w:ascii="Arial" w:hAnsi="Arial" w:cs="Arial"/>
                <w:color w:val="002060"/>
                <w:sz w:val="24"/>
                <w:szCs w:val="24"/>
                <w:lang w:val="en-GB"/>
              </w:rPr>
              <w:t>Where land open to air is defaced by refuse which is detrimental to the amenity of the locality. An example would be where hoarding has spilled over into a garden area.</w:t>
            </w:r>
          </w:p>
        </w:tc>
      </w:tr>
      <w:tr w:rsidR="001F0979" w:rsidRPr="00B273BC" w14:paraId="72B9B895" w14:textId="77777777" w:rsidTr="00B46925">
        <w:tc>
          <w:tcPr>
            <w:tcW w:w="3828" w:type="dxa"/>
            <w:vMerge/>
          </w:tcPr>
          <w:p w14:paraId="6CB84080" w14:textId="77777777" w:rsidR="001F0979" w:rsidRPr="00B273BC" w:rsidRDefault="001F0979" w:rsidP="00B46925">
            <w:pPr>
              <w:rPr>
                <w:color w:val="002060"/>
                <w:lang w:val="en-GB"/>
              </w:rPr>
            </w:pPr>
          </w:p>
        </w:tc>
        <w:tc>
          <w:tcPr>
            <w:tcW w:w="5245" w:type="dxa"/>
            <w:tcBorders>
              <w:top w:val="single" w:sz="4" w:space="0" w:color="auto"/>
              <w:bottom w:val="single" w:sz="4" w:space="0" w:color="auto"/>
              <w:right w:val="single" w:sz="4" w:space="0" w:color="auto"/>
            </w:tcBorders>
          </w:tcPr>
          <w:p w14:paraId="738F71D9"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The Housing Act 2004</w:t>
            </w:r>
          </w:p>
          <w:p w14:paraId="610F7BB4" w14:textId="77777777" w:rsidR="001F0979" w:rsidRPr="00B273BC" w:rsidRDefault="001F0979" w:rsidP="00B46925">
            <w:pPr>
              <w:rPr>
                <w:rFonts w:ascii="Arial" w:hAnsi="Arial" w:cs="Arial"/>
                <w:color w:val="002060"/>
                <w:sz w:val="24"/>
                <w:szCs w:val="24"/>
                <w:lang w:val="en-GB"/>
              </w:rPr>
            </w:pPr>
          </w:p>
          <w:p w14:paraId="2A099B8F" w14:textId="77777777" w:rsidR="001F0979" w:rsidRPr="00B273BC" w:rsidRDefault="001F0979" w:rsidP="00B46925">
            <w:pPr>
              <w:autoSpaceDE w:val="0"/>
              <w:autoSpaceDN w:val="0"/>
              <w:adjustRightInd w:val="0"/>
              <w:rPr>
                <w:rFonts w:ascii="Arial" w:hAnsi="Arial" w:cs="Arial"/>
                <w:color w:val="002060"/>
                <w:sz w:val="24"/>
                <w:szCs w:val="24"/>
                <w:lang w:val="en-GB"/>
              </w:rPr>
            </w:pPr>
            <w:r w:rsidRPr="00B273BC">
              <w:rPr>
                <w:rFonts w:ascii="Arial" w:hAnsi="Arial" w:cs="Arial"/>
                <w:color w:val="002060"/>
                <w:sz w:val="24"/>
                <w:szCs w:val="24"/>
                <w:lang w:val="en-GB"/>
              </w:rPr>
              <w:lastRenderedPageBreak/>
              <w:t>Allows the Local Authority to carry out a risk assessment of residential properties and identify and hazards that could cause harm.  If there are serious hazards (Category 1) there is a duty on the LA to act. If there are other less serious hazards (Category 2) the LA has the power to act.</w:t>
            </w:r>
          </w:p>
          <w:p w14:paraId="4DA17765" w14:textId="77777777" w:rsidR="001F0979" w:rsidRPr="00B273BC" w:rsidRDefault="001F0979" w:rsidP="00B46925">
            <w:pPr>
              <w:rPr>
                <w:rFonts w:ascii="Arial" w:hAnsi="Arial" w:cs="Arial"/>
                <w:color w:val="002060"/>
                <w:sz w:val="24"/>
                <w:szCs w:val="24"/>
                <w:lang w:val="en-GB"/>
              </w:rPr>
            </w:pPr>
          </w:p>
        </w:tc>
        <w:tc>
          <w:tcPr>
            <w:tcW w:w="5164" w:type="dxa"/>
            <w:tcBorders>
              <w:top w:val="single" w:sz="4" w:space="0" w:color="auto"/>
              <w:left w:val="single" w:sz="4" w:space="0" w:color="auto"/>
              <w:bottom w:val="single" w:sz="4" w:space="0" w:color="auto"/>
              <w:right w:val="single" w:sz="4" w:space="0" w:color="auto"/>
            </w:tcBorders>
          </w:tcPr>
          <w:p w14:paraId="466E2B3E"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lastRenderedPageBreak/>
              <w:t xml:space="preserve">Can assess the design, construction and maintenance of dwellings but expressly </w:t>
            </w:r>
            <w:r w:rsidRPr="00B273BC">
              <w:rPr>
                <w:rFonts w:ascii="Arial" w:eastAsia="TTE2C29DE0t00" w:hAnsi="Arial" w:cs="Arial"/>
                <w:color w:val="002060"/>
                <w:sz w:val="24"/>
                <w:szCs w:val="24"/>
                <w:lang w:val="en-GB"/>
              </w:rPr>
              <w:lastRenderedPageBreak/>
              <w:t>excludes deficiencies solely attributable to the behaviour of the occupant.</w:t>
            </w:r>
          </w:p>
          <w:p w14:paraId="0B7DC34B" w14:textId="77777777" w:rsidR="001F0979" w:rsidRPr="00B273BC" w:rsidRDefault="001F0979" w:rsidP="00B46925">
            <w:pPr>
              <w:rPr>
                <w:rFonts w:ascii="Arial" w:hAnsi="Arial" w:cs="Arial"/>
                <w:color w:val="002060"/>
                <w:sz w:val="24"/>
                <w:szCs w:val="24"/>
                <w:lang w:val="en-GB"/>
              </w:rPr>
            </w:pPr>
            <w:r w:rsidRPr="00B273BC">
              <w:rPr>
                <w:rFonts w:ascii="Arial" w:hAnsi="Arial" w:cs="Arial"/>
                <w:color w:val="002060"/>
                <w:sz w:val="24"/>
                <w:szCs w:val="24"/>
                <w:lang w:val="en-GB"/>
              </w:rPr>
              <w:t xml:space="preserve">Private rented and owner-occupied properties can be assessed by different </w:t>
            </w:r>
            <w:r>
              <w:rPr>
                <w:rFonts w:ascii="Arial" w:hAnsi="Arial" w:cs="Arial"/>
                <w:color w:val="002060"/>
                <w:sz w:val="24"/>
                <w:szCs w:val="24"/>
                <w:lang w:val="en-GB"/>
              </w:rPr>
              <w:t>services</w:t>
            </w:r>
            <w:r w:rsidRPr="00B273BC">
              <w:rPr>
                <w:rFonts w:ascii="Arial" w:hAnsi="Arial" w:cs="Arial"/>
                <w:color w:val="002060"/>
                <w:sz w:val="24"/>
                <w:szCs w:val="24"/>
                <w:lang w:val="en-GB"/>
              </w:rPr>
              <w:t xml:space="preserve"> within the local authority</w:t>
            </w:r>
            <w:r>
              <w:rPr>
                <w:rFonts w:ascii="Arial" w:hAnsi="Arial" w:cs="Arial"/>
                <w:color w:val="002060"/>
                <w:sz w:val="24"/>
                <w:szCs w:val="24"/>
                <w:lang w:val="en-GB"/>
              </w:rPr>
              <w:t>;</w:t>
            </w:r>
            <w:r w:rsidRPr="00B273BC">
              <w:rPr>
                <w:rFonts w:ascii="Arial" w:hAnsi="Arial" w:cs="Arial"/>
                <w:color w:val="002060"/>
                <w:sz w:val="24"/>
                <w:szCs w:val="24"/>
                <w:lang w:val="en-GB"/>
              </w:rPr>
              <w:t xml:space="preserve"> if you call FPOC (0345 678 9044) they will direct you</w:t>
            </w:r>
            <w:r>
              <w:rPr>
                <w:rFonts w:ascii="Arial" w:hAnsi="Arial" w:cs="Arial"/>
                <w:color w:val="002060"/>
                <w:sz w:val="24"/>
                <w:szCs w:val="24"/>
                <w:lang w:val="en-GB"/>
              </w:rPr>
              <w:t xml:space="preserve"> to</w:t>
            </w:r>
            <w:r w:rsidRPr="00B273BC">
              <w:rPr>
                <w:rFonts w:ascii="Arial" w:hAnsi="Arial" w:cs="Arial"/>
                <w:color w:val="002060"/>
                <w:sz w:val="24"/>
                <w:szCs w:val="24"/>
                <w:lang w:val="en-GB"/>
              </w:rPr>
              <w:t xml:space="preserve"> the appropriate team.</w:t>
            </w:r>
          </w:p>
        </w:tc>
      </w:tr>
      <w:tr w:rsidR="001F0979" w:rsidRPr="00B273BC" w14:paraId="7269249C" w14:textId="77777777" w:rsidTr="00B46925">
        <w:tc>
          <w:tcPr>
            <w:tcW w:w="3828" w:type="dxa"/>
            <w:vMerge/>
          </w:tcPr>
          <w:p w14:paraId="59EB3000" w14:textId="77777777" w:rsidR="001F0979" w:rsidRPr="00B273BC" w:rsidRDefault="001F0979" w:rsidP="00B46925">
            <w:pPr>
              <w:rPr>
                <w:color w:val="002060"/>
                <w:lang w:val="en-GB"/>
              </w:rPr>
            </w:pPr>
          </w:p>
        </w:tc>
        <w:tc>
          <w:tcPr>
            <w:tcW w:w="5245" w:type="dxa"/>
            <w:tcBorders>
              <w:top w:val="single" w:sz="4" w:space="0" w:color="auto"/>
              <w:bottom w:val="single" w:sz="4" w:space="0" w:color="auto"/>
            </w:tcBorders>
          </w:tcPr>
          <w:p w14:paraId="2E9D6437"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Building Act 1984 s.76 Defective Premises.</w:t>
            </w:r>
          </w:p>
          <w:p w14:paraId="671A6141" w14:textId="77777777" w:rsidR="001F0979" w:rsidRPr="00B273BC" w:rsidRDefault="001F0979" w:rsidP="00B46925">
            <w:pPr>
              <w:rPr>
                <w:color w:val="002060"/>
                <w:lang w:val="en-GB"/>
              </w:rPr>
            </w:pPr>
            <w:r w:rsidRPr="00B273BC">
              <w:rPr>
                <w:rFonts w:ascii="Arial" w:hAnsi="Arial" w:cs="Arial"/>
                <w:color w:val="002060"/>
                <w:sz w:val="24"/>
                <w:szCs w:val="24"/>
                <w:lang w:val="en-GB"/>
              </w:rPr>
              <w:t>It provides an expedited procedure. LA may undertake works after 9 days and recover expenses, unless the owner/occupier states intention to undertake works within 7 days.</w:t>
            </w:r>
          </w:p>
        </w:tc>
        <w:tc>
          <w:tcPr>
            <w:tcW w:w="5164" w:type="dxa"/>
            <w:tcBorders>
              <w:top w:val="single" w:sz="4" w:space="0" w:color="auto"/>
              <w:bottom w:val="single" w:sz="4" w:space="0" w:color="auto"/>
            </w:tcBorders>
          </w:tcPr>
          <w:p w14:paraId="7A11DB31"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Powers to deal with premises which are in such a state as to be prejudicial to health or a nuisance.</w:t>
            </w:r>
          </w:p>
          <w:p w14:paraId="1A12EC2D"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p>
          <w:p w14:paraId="62FB3A1C"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hAnsi="Arial" w:cs="Arial"/>
                <w:color w:val="002060"/>
                <w:sz w:val="24"/>
                <w:szCs w:val="24"/>
                <w:lang w:val="en-GB"/>
              </w:rPr>
              <w:t xml:space="preserve">Private rented and owner-occupied properties can be assessed by different </w:t>
            </w:r>
            <w:r>
              <w:rPr>
                <w:rFonts w:ascii="Arial" w:hAnsi="Arial" w:cs="Arial"/>
                <w:color w:val="002060"/>
                <w:sz w:val="24"/>
                <w:szCs w:val="24"/>
                <w:lang w:val="en-GB"/>
              </w:rPr>
              <w:t>services</w:t>
            </w:r>
            <w:r w:rsidRPr="00B273BC">
              <w:rPr>
                <w:rFonts w:ascii="Arial" w:hAnsi="Arial" w:cs="Arial"/>
                <w:color w:val="002060"/>
                <w:sz w:val="24"/>
                <w:szCs w:val="24"/>
                <w:lang w:val="en-GB"/>
              </w:rPr>
              <w:t xml:space="preserve"> within the local authority</w:t>
            </w:r>
            <w:r>
              <w:rPr>
                <w:rFonts w:ascii="Arial" w:hAnsi="Arial" w:cs="Arial"/>
                <w:color w:val="002060"/>
                <w:sz w:val="24"/>
                <w:szCs w:val="24"/>
                <w:lang w:val="en-GB"/>
              </w:rPr>
              <w:t>;</w:t>
            </w:r>
            <w:r w:rsidRPr="00B273BC">
              <w:rPr>
                <w:rFonts w:ascii="Arial" w:hAnsi="Arial" w:cs="Arial"/>
                <w:color w:val="002060"/>
                <w:sz w:val="24"/>
                <w:szCs w:val="24"/>
                <w:lang w:val="en-GB"/>
              </w:rPr>
              <w:t xml:space="preserve"> if you call FPOC (0345 678 9044) they will direct you </w:t>
            </w:r>
            <w:r>
              <w:rPr>
                <w:rFonts w:ascii="Arial" w:hAnsi="Arial" w:cs="Arial"/>
                <w:color w:val="002060"/>
                <w:sz w:val="24"/>
                <w:szCs w:val="24"/>
                <w:lang w:val="en-GB"/>
              </w:rPr>
              <w:t xml:space="preserve">to </w:t>
            </w:r>
            <w:r w:rsidRPr="00B273BC">
              <w:rPr>
                <w:rFonts w:ascii="Arial" w:hAnsi="Arial" w:cs="Arial"/>
                <w:color w:val="002060"/>
                <w:sz w:val="24"/>
                <w:szCs w:val="24"/>
                <w:lang w:val="en-GB"/>
              </w:rPr>
              <w:t>the appropriate team.</w:t>
            </w:r>
          </w:p>
          <w:p w14:paraId="5AF1341D" w14:textId="77777777" w:rsidR="001F0979" w:rsidRPr="00B273BC" w:rsidRDefault="001F0979" w:rsidP="00B46925">
            <w:pPr>
              <w:autoSpaceDE w:val="0"/>
              <w:autoSpaceDN w:val="0"/>
              <w:adjustRightInd w:val="0"/>
              <w:rPr>
                <w:color w:val="002060"/>
                <w:lang w:val="en-GB"/>
              </w:rPr>
            </w:pPr>
          </w:p>
        </w:tc>
      </w:tr>
      <w:tr w:rsidR="001F0979" w:rsidRPr="00B273BC" w14:paraId="4639D41A" w14:textId="77777777" w:rsidTr="00B46925">
        <w:tc>
          <w:tcPr>
            <w:tcW w:w="3828" w:type="dxa"/>
            <w:vMerge/>
          </w:tcPr>
          <w:p w14:paraId="46AE59FA" w14:textId="77777777" w:rsidR="001F0979" w:rsidRPr="00B273BC" w:rsidRDefault="001F0979" w:rsidP="00B46925">
            <w:pPr>
              <w:rPr>
                <w:color w:val="002060"/>
                <w:lang w:val="en-GB"/>
              </w:rPr>
            </w:pPr>
          </w:p>
        </w:tc>
        <w:tc>
          <w:tcPr>
            <w:tcW w:w="5245" w:type="dxa"/>
            <w:tcBorders>
              <w:top w:val="single" w:sz="4" w:space="0" w:color="auto"/>
              <w:bottom w:val="single" w:sz="4" w:space="0" w:color="auto"/>
            </w:tcBorders>
          </w:tcPr>
          <w:p w14:paraId="29BE957A" w14:textId="77777777" w:rsidR="001F0979" w:rsidRPr="00B273BC" w:rsidRDefault="001F0979" w:rsidP="00B46925">
            <w:pPr>
              <w:rPr>
                <w:rFonts w:ascii="Arial" w:hAnsi="Arial" w:cs="Arial"/>
                <w:b/>
                <w:color w:val="002060"/>
                <w:sz w:val="24"/>
                <w:szCs w:val="24"/>
                <w:lang w:val="en-GB"/>
              </w:rPr>
            </w:pPr>
            <w:r w:rsidRPr="00B273BC">
              <w:rPr>
                <w:rFonts w:ascii="Arial" w:hAnsi="Arial" w:cs="Arial"/>
                <w:b/>
                <w:color w:val="002060"/>
                <w:sz w:val="24"/>
                <w:szCs w:val="24"/>
                <w:lang w:val="en-GB"/>
              </w:rPr>
              <w:t>Town and Country Planning Act 1971 s.215 Power to require proper maintenance of land</w:t>
            </w:r>
          </w:p>
          <w:p w14:paraId="0F793201"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color w:val="002060"/>
                <w:sz w:val="24"/>
                <w:szCs w:val="24"/>
                <w:lang w:val="en-GB"/>
              </w:rPr>
              <w:t>Minimum 28-day notice to remedy condition of land as specified</w:t>
            </w:r>
          </w:p>
        </w:tc>
        <w:tc>
          <w:tcPr>
            <w:tcW w:w="5164" w:type="dxa"/>
            <w:tcBorders>
              <w:top w:val="single" w:sz="4" w:space="0" w:color="auto"/>
              <w:bottom w:val="single" w:sz="4" w:space="0" w:color="auto"/>
            </w:tcBorders>
          </w:tcPr>
          <w:p w14:paraId="37800B2F"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hAnsi="Arial" w:cs="Arial"/>
                <w:color w:val="002060"/>
                <w:sz w:val="24"/>
                <w:szCs w:val="24"/>
                <w:lang w:val="en-GB"/>
              </w:rPr>
              <w:t>Powers to issue owner and/or occupier to deal with condition of land that is adversely affecting amenities for which it is part of or adjoining to.</w:t>
            </w:r>
          </w:p>
        </w:tc>
      </w:tr>
      <w:tr w:rsidR="001F0979" w:rsidRPr="00B273BC" w14:paraId="0E65DF08" w14:textId="77777777" w:rsidTr="00B46925">
        <w:tc>
          <w:tcPr>
            <w:tcW w:w="3828" w:type="dxa"/>
            <w:vMerge/>
            <w:tcBorders>
              <w:bottom w:val="single" w:sz="4" w:space="0" w:color="auto"/>
            </w:tcBorders>
          </w:tcPr>
          <w:p w14:paraId="338AD4F8" w14:textId="77777777" w:rsidR="001F0979" w:rsidRPr="00B273BC" w:rsidRDefault="001F0979" w:rsidP="00B46925">
            <w:pPr>
              <w:rPr>
                <w:color w:val="002060"/>
                <w:lang w:val="en-GB"/>
              </w:rPr>
            </w:pPr>
          </w:p>
        </w:tc>
        <w:tc>
          <w:tcPr>
            <w:tcW w:w="5245" w:type="dxa"/>
            <w:tcBorders>
              <w:top w:val="single" w:sz="4" w:space="0" w:color="auto"/>
              <w:bottom w:val="single" w:sz="4" w:space="0" w:color="auto"/>
            </w:tcBorders>
          </w:tcPr>
          <w:p w14:paraId="7018FAAB" w14:textId="77777777" w:rsidR="001F0979" w:rsidRPr="00B273BC" w:rsidRDefault="001F0979" w:rsidP="00B46925">
            <w:pPr>
              <w:rPr>
                <w:rFonts w:ascii="Arial" w:hAnsi="Arial" w:cs="Arial"/>
                <w:b/>
                <w:color w:val="002060"/>
                <w:sz w:val="24"/>
                <w:szCs w:val="24"/>
                <w:lang w:val="en-GB"/>
              </w:rPr>
            </w:pPr>
            <w:r w:rsidRPr="00B273BC">
              <w:rPr>
                <w:rFonts w:ascii="Arial" w:hAnsi="Arial" w:cs="Arial"/>
                <w:b/>
                <w:color w:val="002060"/>
                <w:sz w:val="24"/>
                <w:szCs w:val="24"/>
                <w:lang w:val="en-GB"/>
              </w:rPr>
              <w:t>Building Act 1984 s</w:t>
            </w:r>
            <w:r>
              <w:rPr>
                <w:rFonts w:ascii="Arial" w:hAnsi="Arial" w:cs="Arial"/>
                <w:b/>
                <w:color w:val="002060"/>
                <w:sz w:val="24"/>
                <w:szCs w:val="24"/>
                <w:lang w:val="en-GB"/>
              </w:rPr>
              <w:t>.</w:t>
            </w:r>
            <w:r w:rsidRPr="00B273BC">
              <w:rPr>
                <w:rFonts w:ascii="Arial" w:hAnsi="Arial" w:cs="Arial"/>
                <w:b/>
                <w:color w:val="002060"/>
                <w:sz w:val="24"/>
                <w:szCs w:val="24"/>
                <w:lang w:val="en-GB"/>
              </w:rPr>
              <w:t>77 Dangerous Structures</w:t>
            </w:r>
          </w:p>
        </w:tc>
        <w:tc>
          <w:tcPr>
            <w:tcW w:w="5164" w:type="dxa"/>
            <w:tcBorders>
              <w:top w:val="single" w:sz="4" w:space="0" w:color="auto"/>
              <w:bottom w:val="single" w:sz="4" w:space="0" w:color="auto"/>
            </w:tcBorders>
          </w:tcPr>
          <w:p w14:paraId="09556464" w14:textId="77777777" w:rsidR="001F0979" w:rsidRPr="00B273BC" w:rsidRDefault="001F0979" w:rsidP="00B46925">
            <w:pPr>
              <w:shd w:val="clear" w:color="auto" w:fill="FFFFFF"/>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Where danger arises from the condition of the building or structure the Council can make an order requiring the owner:</w:t>
            </w:r>
          </w:p>
          <w:p w14:paraId="2BF903F5" w14:textId="77777777" w:rsidR="001F0979" w:rsidRPr="00B273BC" w:rsidRDefault="001F0979" w:rsidP="001F0979">
            <w:pPr>
              <w:numPr>
                <w:ilvl w:val="0"/>
                <w:numId w:val="2"/>
              </w:numPr>
              <w:shd w:val="clear" w:color="auto" w:fill="FFFFFF"/>
              <w:ind w:left="219" w:hanging="219"/>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 xml:space="preserve"> to execute such work as may be necessary to obviate the danger or,</w:t>
            </w:r>
          </w:p>
          <w:p w14:paraId="0B198741" w14:textId="77777777" w:rsidR="001F0979" w:rsidRPr="00B273BC" w:rsidRDefault="001F0979" w:rsidP="00B46925">
            <w:pPr>
              <w:shd w:val="clear" w:color="auto" w:fill="FFFFFF"/>
              <w:ind w:left="219" w:hanging="283"/>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 xml:space="preserve">(ii) demolish the building or structure, or any dangerous part of it, and remove any rubbish resulting from the demolition </w:t>
            </w:r>
          </w:p>
          <w:p w14:paraId="6D667365" w14:textId="77777777" w:rsidR="001F0979" w:rsidRPr="00B273BC" w:rsidRDefault="001F0979" w:rsidP="00B46925">
            <w:pPr>
              <w:autoSpaceDE w:val="0"/>
              <w:autoSpaceDN w:val="0"/>
              <w:adjustRightInd w:val="0"/>
              <w:rPr>
                <w:rFonts w:ascii="Arial" w:hAnsi="Arial" w:cs="Arial"/>
                <w:color w:val="002060"/>
                <w:sz w:val="24"/>
                <w:szCs w:val="24"/>
                <w:lang w:val="en-GB"/>
              </w:rPr>
            </w:pPr>
            <w:r w:rsidRPr="00B273BC">
              <w:rPr>
                <w:rFonts w:ascii="Arial" w:hAnsi="Arial" w:cs="Arial"/>
                <w:color w:val="002060"/>
                <w:sz w:val="24"/>
                <w:szCs w:val="24"/>
                <w:lang w:val="en-GB"/>
              </w:rPr>
              <w:t>Etc.</w:t>
            </w:r>
          </w:p>
        </w:tc>
      </w:tr>
      <w:tr w:rsidR="001F0979" w:rsidRPr="00B273BC" w14:paraId="2EECFF13" w14:textId="77777777" w:rsidTr="00B46925">
        <w:tc>
          <w:tcPr>
            <w:tcW w:w="3828" w:type="dxa"/>
            <w:tcBorders>
              <w:top w:val="single" w:sz="4" w:space="0" w:color="auto"/>
              <w:bottom w:val="single" w:sz="4" w:space="0" w:color="auto"/>
            </w:tcBorders>
          </w:tcPr>
          <w:p w14:paraId="7529FAC3"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lastRenderedPageBreak/>
              <w:t>Local Authority</w:t>
            </w:r>
          </w:p>
          <w:p w14:paraId="66860845" w14:textId="77777777" w:rsidR="001F0979" w:rsidRPr="00B273BC" w:rsidRDefault="001F0979" w:rsidP="00B46925">
            <w:pPr>
              <w:rPr>
                <w:rFonts w:ascii="Arial" w:hAnsi="Arial" w:cs="Arial"/>
                <w:b/>
                <w:bCs/>
                <w:color w:val="002060"/>
                <w:sz w:val="24"/>
                <w:szCs w:val="24"/>
                <w:lang w:val="en-GB"/>
              </w:rPr>
            </w:pPr>
          </w:p>
          <w:p w14:paraId="3EF81B9A"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West Mercia Police</w:t>
            </w:r>
          </w:p>
          <w:p w14:paraId="4F47C94C" w14:textId="77777777" w:rsidR="001F0979" w:rsidRPr="00B273BC" w:rsidRDefault="001F0979" w:rsidP="00B46925">
            <w:pPr>
              <w:rPr>
                <w:rFonts w:ascii="Arial" w:hAnsi="Arial" w:cs="Arial"/>
                <w:b/>
                <w:bCs/>
                <w:color w:val="002060"/>
                <w:sz w:val="24"/>
                <w:szCs w:val="24"/>
                <w:lang w:val="en-GB"/>
              </w:rPr>
            </w:pPr>
          </w:p>
          <w:p w14:paraId="10024719" w14:textId="77777777" w:rsidR="001F0979" w:rsidRPr="00B273BC" w:rsidRDefault="001F0979" w:rsidP="00B46925">
            <w:pPr>
              <w:rPr>
                <w:color w:val="002060"/>
                <w:lang w:val="en-GB"/>
              </w:rPr>
            </w:pPr>
            <w:r w:rsidRPr="00B273BC">
              <w:rPr>
                <w:rFonts w:ascii="Arial" w:hAnsi="Arial" w:cs="Arial"/>
                <w:b/>
                <w:bCs/>
                <w:color w:val="002060"/>
                <w:sz w:val="24"/>
                <w:szCs w:val="24"/>
                <w:lang w:val="en-GB"/>
              </w:rPr>
              <w:t>Housing Providers</w:t>
            </w:r>
          </w:p>
        </w:tc>
        <w:tc>
          <w:tcPr>
            <w:tcW w:w="5245" w:type="dxa"/>
            <w:tcBorders>
              <w:top w:val="single" w:sz="4" w:space="0" w:color="auto"/>
              <w:bottom w:val="single" w:sz="4" w:space="0" w:color="auto"/>
            </w:tcBorders>
          </w:tcPr>
          <w:p w14:paraId="426E3F6E" w14:textId="77777777" w:rsidR="001F0979" w:rsidRPr="00B273BC" w:rsidRDefault="001F0979" w:rsidP="00B46925">
            <w:pPr>
              <w:rPr>
                <w:rFonts w:ascii="Arial" w:hAnsi="Arial" w:cs="Arial"/>
                <w:b/>
                <w:color w:val="002060"/>
                <w:sz w:val="24"/>
                <w:szCs w:val="24"/>
                <w:lang w:val="en-GB"/>
              </w:rPr>
            </w:pPr>
            <w:r w:rsidRPr="00B273BC">
              <w:rPr>
                <w:rFonts w:ascii="Arial" w:hAnsi="Arial" w:cs="Arial"/>
                <w:b/>
                <w:color w:val="002060"/>
                <w:sz w:val="24"/>
                <w:szCs w:val="24"/>
                <w:lang w:val="en-GB"/>
              </w:rPr>
              <w:t xml:space="preserve">Anti-Social Behaviour, Crime and Policing Act 2014 Warning Letter and Community Protection Notice (CPN) </w:t>
            </w:r>
            <w:r w:rsidRPr="00B273BC">
              <w:rPr>
                <w:rFonts w:ascii="Arial" w:hAnsi="Arial" w:cs="Arial"/>
                <w:color w:val="002060"/>
                <w:sz w:val="24"/>
                <w:szCs w:val="24"/>
                <w:lang w:val="en-GB"/>
              </w:rPr>
              <w:t>requiring an individual to do specific things, stop doing specific things or take reasonable steps to achieve a specified result.</w:t>
            </w:r>
          </w:p>
          <w:p w14:paraId="1A844564" w14:textId="77777777" w:rsidR="001F0979" w:rsidRPr="00B273BC" w:rsidRDefault="001F0979" w:rsidP="00B46925">
            <w:pPr>
              <w:spacing w:line="252" w:lineRule="auto"/>
              <w:rPr>
                <w:rFonts w:ascii="Calibri" w:hAnsi="Calibri" w:cs="Times New Roman"/>
                <w:color w:val="002060"/>
                <w:lang w:val="en-GB"/>
              </w:rPr>
            </w:pPr>
            <w:r w:rsidRPr="00B273BC">
              <w:rPr>
                <w:rFonts w:ascii="Arial" w:hAnsi="Arial" w:cs="Arial"/>
                <w:color w:val="002060"/>
                <w:sz w:val="24"/>
                <w:szCs w:val="24"/>
                <w:lang w:val="en-GB"/>
              </w:rPr>
              <w:t xml:space="preserve">A warning letter must be served before the Community Protection </w:t>
            </w:r>
            <w:r>
              <w:rPr>
                <w:rFonts w:ascii="Arial" w:hAnsi="Arial" w:cs="Arial"/>
                <w:color w:val="002060"/>
                <w:sz w:val="24"/>
                <w:szCs w:val="24"/>
                <w:lang w:val="en-GB"/>
              </w:rPr>
              <w:t>N</w:t>
            </w:r>
            <w:r w:rsidRPr="00B273BC">
              <w:rPr>
                <w:rFonts w:ascii="Arial" w:hAnsi="Arial" w:cs="Arial"/>
                <w:color w:val="002060"/>
                <w:sz w:val="24"/>
                <w:szCs w:val="24"/>
                <w:lang w:val="en-GB"/>
              </w:rPr>
              <w:t>otice is served.</w:t>
            </w:r>
          </w:p>
          <w:p w14:paraId="5F66CC6B" w14:textId="77777777" w:rsidR="001F0979" w:rsidRPr="00B273BC" w:rsidRDefault="001F0979" w:rsidP="00B46925">
            <w:pPr>
              <w:rPr>
                <w:rFonts w:ascii="Arial" w:hAnsi="Arial" w:cs="Arial"/>
                <w:b/>
                <w:color w:val="002060"/>
                <w:sz w:val="24"/>
                <w:szCs w:val="24"/>
                <w:lang w:val="en-GB"/>
              </w:rPr>
            </w:pPr>
          </w:p>
        </w:tc>
        <w:tc>
          <w:tcPr>
            <w:tcW w:w="5164" w:type="dxa"/>
            <w:tcBorders>
              <w:top w:val="single" w:sz="4" w:space="0" w:color="auto"/>
              <w:bottom w:val="single" w:sz="4" w:space="0" w:color="auto"/>
            </w:tcBorders>
          </w:tcPr>
          <w:p w14:paraId="05BCFC77" w14:textId="77777777" w:rsidR="001F0979" w:rsidRPr="00B273BC" w:rsidRDefault="001F0979" w:rsidP="00B46925">
            <w:pPr>
              <w:rPr>
                <w:rFonts w:ascii="Arial" w:hAnsi="Arial" w:cs="Arial"/>
                <w:color w:val="002060"/>
                <w:sz w:val="24"/>
                <w:szCs w:val="24"/>
                <w:lang w:val="en-GB"/>
              </w:rPr>
            </w:pPr>
            <w:r w:rsidRPr="00B273BC">
              <w:rPr>
                <w:rFonts w:ascii="Arial" w:hAnsi="Arial" w:cs="Arial"/>
                <w:color w:val="002060"/>
                <w:sz w:val="24"/>
                <w:szCs w:val="24"/>
                <w:lang w:val="en-GB"/>
              </w:rPr>
              <w:t>Powers to tackle ongoing Anti-Social Behaviour and stop conduct which unacceptably affects victims and the community.</w:t>
            </w:r>
          </w:p>
          <w:p w14:paraId="3E2E21AB" w14:textId="77777777" w:rsidR="001F0979" w:rsidRPr="00B273BC" w:rsidRDefault="001F0979" w:rsidP="00B46925">
            <w:pPr>
              <w:spacing w:line="252" w:lineRule="auto"/>
              <w:rPr>
                <w:rFonts w:ascii="Calibri" w:hAnsi="Calibri" w:cs="Times New Roman"/>
                <w:color w:val="002060"/>
                <w:lang w:val="en-GB"/>
              </w:rPr>
            </w:pPr>
            <w:r w:rsidRPr="00B273BC">
              <w:rPr>
                <w:rFonts w:ascii="Arial" w:hAnsi="Arial" w:cs="Arial"/>
                <w:color w:val="002060"/>
                <w:sz w:val="24"/>
                <w:szCs w:val="24"/>
                <w:lang w:val="en-GB"/>
              </w:rPr>
              <w:t>Behaviour needs to be detrimental to the quality of life of those in the locality, persistent or continuing and be unreasonable.</w:t>
            </w:r>
          </w:p>
          <w:p w14:paraId="0ACE7F0E" w14:textId="77777777" w:rsidR="001F0979" w:rsidRPr="00B273BC" w:rsidRDefault="001F0979" w:rsidP="00B46925">
            <w:pPr>
              <w:shd w:val="clear" w:color="auto" w:fill="FFFFFF"/>
              <w:rPr>
                <w:rFonts w:ascii="Arial" w:eastAsia="Times New Roman" w:hAnsi="Arial" w:cs="Arial"/>
                <w:color w:val="002060"/>
                <w:sz w:val="24"/>
                <w:szCs w:val="24"/>
                <w:lang w:val="en" w:eastAsia="en-GB"/>
              </w:rPr>
            </w:pPr>
            <w:r w:rsidRPr="00B273BC">
              <w:rPr>
                <w:rFonts w:ascii="Arial" w:hAnsi="Arial" w:cs="Arial"/>
                <w:color w:val="002060"/>
                <w:sz w:val="24"/>
                <w:szCs w:val="24"/>
                <w:lang w:val="en-GB"/>
              </w:rPr>
              <w:t>Served upon a person 16</w:t>
            </w:r>
            <w:r>
              <w:rPr>
                <w:rFonts w:ascii="Arial" w:hAnsi="Arial" w:cs="Arial"/>
                <w:color w:val="002060"/>
                <w:sz w:val="24"/>
                <w:szCs w:val="24"/>
                <w:lang w:val="en-GB"/>
              </w:rPr>
              <w:t xml:space="preserve"> </w:t>
            </w:r>
            <w:r w:rsidRPr="00B273BC">
              <w:rPr>
                <w:rFonts w:ascii="Arial" w:hAnsi="Arial" w:cs="Arial"/>
                <w:color w:val="002060"/>
                <w:sz w:val="24"/>
                <w:szCs w:val="24"/>
                <w:lang w:val="en-GB"/>
              </w:rPr>
              <w:t>years or older</w:t>
            </w:r>
          </w:p>
        </w:tc>
      </w:tr>
      <w:tr w:rsidR="001F0979" w:rsidRPr="00B273BC" w14:paraId="7F32CD47" w14:textId="77777777" w:rsidTr="00B46925">
        <w:tc>
          <w:tcPr>
            <w:tcW w:w="3828" w:type="dxa"/>
            <w:tcBorders>
              <w:top w:val="single" w:sz="4" w:space="0" w:color="auto"/>
              <w:bottom w:val="single" w:sz="4" w:space="0" w:color="auto"/>
            </w:tcBorders>
          </w:tcPr>
          <w:p w14:paraId="55023E37"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West Mercia Police</w:t>
            </w:r>
          </w:p>
        </w:tc>
        <w:tc>
          <w:tcPr>
            <w:tcW w:w="5245" w:type="dxa"/>
            <w:tcBorders>
              <w:top w:val="single" w:sz="4" w:space="0" w:color="auto"/>
              <w:bottom w:val="single" w:sz="4" w:space="0" w:color="auto"/>
            </w:tcBorders>
          </w:tcPr>
          <w:p w14:paraId="5219944E"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 xml:space="preserve">Power of Entry </w:t>
            </w:r>
          </w:p>
          <w:p w14:paraId="3A5B4363"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(S</w:t>
            </w:r>
            <w:r>
              <w:rPr>
                <w:rFonts w:ascii="Arial" w:hAnsi="Arial" w:cs="Arial"/>
                <w:b/>
                <w:color w:val="002060"/>
                <w:sz w:val="24"/>
                <w:szCs w:val="24"/>
                <w:lang w:val="en-GB"/>
              </w:rPr>
              <w:t>.</w:t>
            </w:r>
            <w:r w:rsidRPr="00B273BC">
              <w:rPr>
                <w:rFonts w:ascii="Arial" w:hAnsi="Arial" w:cs="Arial"/>
                <w:b/>
                <w:color w:val="002060"/>
                <w:sz w:val="24"/>
                <w:szCs w:val="24"/>
                <w:lang w:val="en-GB"/>
              </w:rPr>
              <w:t>17 of Police and Criminal Evidence Act)</w:t>
            </w:r>
          </w:p>
          <w:p w14:paraId="5A34F8A4" w14:textId="77777777" w:rsidR="001F0979" w:rsidRPr="00B273BC" w:rsidRDefault="001F0979" w:rsidP="00B46925">
            <w:pPr>
              <w:rPr>
                <w:rFonts w:ascii="Arial" w:hAnsi="Arial" w:cs="Arial"/>
                <w:b/>
                <w:color w:val="002060"/>
                <w:sz w:val="24"/>
                <w:szCs w:val="24"/>
                <w:lang w:val="en-GB"/>
              </w:rPr>
            </w:pPr>
            <w:r w:rsidRPr="00B273BC">
              <w:rPr>
                <w:rFonts w:ascii="Arial" w:eastAsia="TTE2C29DE0t00" w:hAnsi="Arial" w:cs="Arial"/>
                <w:color w:val="002060"/>
                <w:sz w:val="24"/>
                <w:szCs w:val="24"/>
                <w:lang w:val="en-GB"/>
              </w:rPr>
              <w:t>Person inside the property is not responding to outside contact and there is evidence of real danger or a crime being committed.</w:t>
            </w:r>
          </w:p>
        </w:tc>
        <w:tc>
          <w:tcPr>
            <w:tcW w:w="5164" w:type="dxa"/>
            <w:tcBorders>
              <w:top w:val="single" w:sz="4" w:space="0" w:color="auto"/>
              <w:bottom w:val="single" w:sz="4" w:space="0" w:color="auto"/>
            </w:tcBorders>
          </w:tcPr>
          <w:p w14:paraId="3D3396F3" w14:textId="77777777" w:rsidR="001F0979" w:rsidRPr="00B273BC" w:rsidRDefault="001F0979" w:rsidP="00B46925">
            <w:pPr>
              <w:rPr>
                <w:rFonts w:ascii="Arial" w:hAnsi="Arial" w:cs="Arial"/>
                <w:color w:val="002060"/>
                <w:sz w:val="24"/>
                <w:szCs w:val="24"/>
                <w:lang w:val="en-GB"/>
              </w:rPr>
            </w:pPr>
            <w:r w:rsidRPr="00B273BC">
              <w:rPr>
                <w:rFonts w:ascii="Arial" w:eastAsia="TTE2C29DE0t00" w:hAnsi="Arial" w:cs="Arial"/>
                <w:color w:val="002060"/>
                <w:sz w:val="24"/>
                <w:szCs w:val="24"/>
                <w:lang w:val="en-GB"/>
              </w:rPr>
              <w:t>Information that someone was inside the premises was ill or injured and the Police would need to gain entry to save life or limb</w:t>
            </w:r>
          </w:p>
        </w:tc>
      </w:tr>
      <w:tr w:rsidR="001F0979" w:rsidRPr="00B273BC" w14:paraId="53C716DA" w14:textId="77777777" w:rsidTr="00B46925">
        <w:tc>
          <w:tcPr>
            <w:tcW w:w="3828" w:type="dxa"/>
            <w:tcBorders>
              <w:top w:val="single" w:sz="4" w:space="0" w:color="auto"/>
              <w:bottom w:val="single" w:sz="4" w:space="0" w:color="auto"/>
            </w:tcBorders>
          </w:tcPr>
          <w:p w14:paraId="5AFA174D"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Shropshire Fire and Rescue</w:t>
            </w:r>
          </w:p>
        </w:tc>
        <w:tc>
          <w:tcPr>
            <w:tcW w:w="5245" w:type="dxa"/>
            <w:tcBorders>
              <w:top w:val="single" w:sz="4" w:space="0" w:color="auto"/>
              <w:bottom w:val="single" w:sz="4" w:space="0" w:color="auto"/>
            </w:tcBorders>
          </w:tcPr>
          <w:p w14:paraId="475CBE36" w14:textId="77777777" w:rsidR="001F0979" w:rsidRPr="00B273BC" w:rsidRDefault="001F0979" w:rsidP="00B46925">
            <w:pPr>
              <w:shd w:val="clear" w:color="auto" w:fill="FFFFFF"/>
              <w:spacing w:after="120"/>
              <w:rPr>
                <w:rFonts w:ascii="Arial" w:eastAsia="Times New Roman" w:hAnsi="Arial" w:cs="Arial"/>
                <w:b/>
                <w:color w:val="002060"/>
                <w:sz w:val="24"/>
                <w:szCs w:val="24"/>
                <w:lang w:val="en-GB" w:eastAsia="en-GB"/>
              </w:rPr>
            </w:pPr>
            <w:r w:rsidRPr="00B273BC">
              <w:rPr>
                <w:rFonts w:ascii="Arial" w:eastAsia="Times New Roman" w:hAnsi="Arial" w:cs="Arial"/>
                <w:b/>
                <w:color w:val="002060"/>
                <w:sz w:val="24"/>
                <w:szCs w:val="24"/>
                <w:lang w:val="en-GB" w:eastAsia="en-GB"/>
              </w:rPr>
              <w:t>Powers of Entry Part 6 Section 44 The Fire and Rescue Services Act 2004</w:t>
            </w:r>
          </w:p>
          <w:p w14:paraId="4BFA0445" w14:textId="77777777" w:rsidR="001F0979" w:rsidRPr="00B273BC" w:rsidRDefault="001F0979" w:rsidP="00B46925">
            <w:pPr>
              <w:shd w:val="clear" w:color="auto" w:fill="FFFFFF"/>
              <w:spacing w:after="120"/>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An employee of a fire and rescue authority who is</w:t>
            </w:r>
            <w:r w:rsidRPr="00B273BC">
              <w:rPr>
                <w:rFonts w:ascii="Arial" w:eastAsia="Times New Roman" w:hAnsi="Arial" w:cs="Arial"/>
                <w:color w:val="002060"/>
                <w:sz w:val="24"/>
                <w:szCs w:val="24"/>
                <w:lang w:val="en-GB" w:eastAsia="en-GB"/>
              </w:rPr>
              <w:t xml:space="preserve"> authorised</w:t>
            </w:r>
            <w:r w:rsidRPr="00B273BC">
              <w:rPr>
                <w:rFonts w:ascii="Arial" w:eastAsia="Times New Roman" w:hAnsi="Arial" w:cs="Arial"/>
                <w:color w:val="002060"/>
                <w:sz w:val="24"/>
                <w:szCs w:val="24"/>
                <w:lang w:val="en" w:eastAsia="en-GB"/>
              </w:rPr>
              <w:t xml:space="preserve"> in writing by the authority for the purposes of this section may do anything they reasonably believe to be necessary.</w:t>
            </w:r>
          </w:p>
          <w:p w14:paraId="51829F0F" w14:textId="77777777" w:rsidR="001F0979" w:rsidRPr="00B273BC" w:rsidRDefault="001F0979" w:rsidP="00B46925">
            <w:pPr>
              <w:autoSpaceDE w:val="0"/>
              <w:autoSpaceDN w:val="0"/>
              <w:adjustRightInd w:val="0"/>
              <w:rPr>
                <w:rFonts w:ascii="Arial" w:hAnsi="Arial" w:cs="Arial"/>
                <w:b/>
                <w:color w:val="002060"/>
                <w:sz w:val="24"/>
                <w:szCs w:val="24"/>
                <w:lang w:val="en-GB"/>
              </w:rPr>
            </w:pPr>
          </w:p>
        </w:tc>
        <w:tc>
          <w:tcPr>
            <w:tcW w:w="5164" w:type="dxa"/>
            <w:tcBorders>
              <w:top w:val="single" w:sz="4" w:space="0" w:color="auto"/>
              <w:bottom w:val="single" w:sz="4" w:space="0" w:color="auto"/>
            </w:tcBorders>
          </w:tcPr>
          <w:p w14:paraId="1B1CF40B" w14:textId="77777777" w:rsidR="001F0979" w:rsidRPr="00B273BC" w:rsidRDefault="001F0979" w:rsidP="00B46925">
            <w:pPr>
              <w:shd w:val="clear" w:color="auto" w:fill="FFFFFF"/>
              <w:spacing w:after="120"/>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This for the purpose of:</w:t>
            </w:r>
          </w:p>
          <w:p w14:paraId="40CB0B8F" w14:textId="77777777" w:rsidR="001F0979" w:rsidRPr="00B273BC" w:rsidRDefault="001F0979" w:rsidP="001F0979">
            <w:pPr>
              <w:numPr>
                <w:ilvl w:val="0"/>
                <w:numId w:val="1"/>
              </w:numPr>
              <w:shd w:val="clear" w:color="auto" w:fill="FFFFFF"/>
              <w:spacing w:after="120" w:line="276" w:lineRule="auto"/>
              <w:ind w:left="291" w:hanging="284"/>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extinguishing or preventing the fire or protecting life or property;</w:t>
            </w:r>
          </w:p>
          <w:p w14:paraId="48874451" w14:textId="77777777" w:rsidR="001F0979" w:rsidRPr="00B273BC" w:rsidRDefault="001F0979" w:rsidP="001F0979">
            <w:pPr>
              <w:numPr>
                <w:ilvl w:val="0"/>
                <w:numId w:val="1"/>
              </w:numPr>
              <w:shd w:val="clear" w:color="auto" w:fill="FFFFFF"/>
              <w:spacing w:after="120" w:line="276" w:lineRule="auto"/>
              <w:ind w:left="291" w:hanging="291"/>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rescuing people or protecting them from serious harm in a road traffic accident;</w:t>
            </w:r>
          </w:p>
          <w:p w14:paraId="0854A953" w14:textId="77777777" w:rsidR="001F0979" w:rsidRPr="00B273BC" w:rsidRDefault="001F0979" w:rsidP="001F0979">
            <w:pPr>
              <w:numPr>
                <w:ilvl w:val="0"/>
                <w:numId w:val="1"/>
              </w:numPr>
              <w:shd w:val="clear" w:color="auto" w:fill="FFFFFF"/>
              <w:spacing w:after="120" w:line="276" w:lineRule="auto"/>
              <w:ind w:left="291" w:hanging="291"/>
              <w:rPr>
                <w:rFonts w:ascii="Arial" w:eastAsia="Times New Roman" w:hAnsi="Arial" w:cs="Arial"/>
                <w:color w:val="002060"/>
                <w:sz w:val="24"/>
                <w:szCs w:val="24"/>
                <w:lang w:val="en" w:eastAsia="en-GB"/>
              </w:rPr>
            </w:pPr>
            <w:r w:rsidRPr="00B273BC">
              <w:rPr>
                <w:rFonts w:ascii="Arial" w:eastAsia="Times New Roman" w:hAnsi="Arial" w:cs="Arial"/>
                <w:color w:val="002060"/>
                <w:sz w:val="24"/>
                <w:szCs w:val="24"/>
                <w:lang w:val="en" w:eastAsia="en-GB"/>
              </w:rPr>
              <w:t>reacting in an emergency of another kind relating to the function of the fire and rescue authority;</w:t>
            </w:r>
          </w:p>
          <w:p w14:paraId="32F09D16" w14:textId="77777777" w:rsidR="001F0979" w:rsidRPr="00B273BC" w:rsidRDefault="001F0979" w:rsidP="00B46925">
            <w:pPr>
              <w:rPr>
                <w:rFonts w:ascii="Arial" w:eastAsia="TTE2C29DE0t00" w:hAnsi="Arial" w:cs="Arial"/>
                <w:color w:val="002060"/>
                <w:sz w:val="24"/>
                <w:szCs w:val="24"/>
                <w:lang w:val="en-GB"/>
              </w:rPr>
            </w:pPr>
            <w:r w:rsidRPr="00B273BC">
              <w:rPr>
                <w:rFonts w:ascii="Arial" w:eastAsia="Times New Roman" w:hAnsi="Arial" w:cs="Arial"/>
                <w:color w:val="002060"/>
                <w:sz w:val="24"/>
                <w:szCs w:val="24"/>
                <w:lang w:val="en" w:eastAsia="en-GB"/>
              </w:rPr>
              <w:t>preventing or limiting damage to property resulting from action taken.</w:t>
            </w:r>
          </w:p>
        </w:tc>
      </w:tr>
      <w:tr w:rsidR="001F0979" w:rsidRPr="00B273BC" w14:paraId="4CC0B113" w14:textId="77777777" w:rsidTr="00B46925">
        <w:tc>
          <w:tcPr>
            <w:tcW w:w="3828" w:type="dxa"/>
            <w:tcBorders>
              <w:top w:val="single" w:sz="4" w:space="0" w:color="auto"/>
              <w:bottom w:val="single" w:sz="4" w:space="0" w:color="auto"/>
            </w:tcBorders>
          </w:tcPr>
          <w:p w14:paraId="17C49C70"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 xml:space="preserve">Animal Welfare </w:t>
            </w:r>
          </w:p>
        </w:tc>
        <w:tc>
          <w:tcPr>
            <w:tcW w:w="5245" w:type="dxa"/>
            <w:tcBorders>
              <w:top w:val="single" w:sz="4" w:space="0" w:color="auto"/>
              <w:bottom w:val="single" w:sz="4" w:space="0" w:color="auto"/>
            </w:tcBorders>
          </w:tcPr>
          <w:p w14:paraId="6CB23619"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Animal Welfare Act 2006</w:t>
            </w:r>
          </w:p>
          <w:p w14:paraId="0BD24CE1"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Offences (Improvement notice)</w:t>
            </w:r>
          </w:p>
          <w:p w14:paraId="1DDC0784" w14:textId="77777777" w:rsidR="001F0979" w:rsidRPr="00B273BC" w:rsidRDefault="001F0979" w:rsidP="00B46925">
            <w:pPr>
              <w:shd w:val="clear" w:color="auto" w:fill="FFFFFF"/>
              <w:spacing w:after="120"/>
              <w:rPr>
                <w:rFonts w:ascii="Arial" w:eastAsia="Times New Roman" w:hAnsi="Arial" w:cs="Arial"/>
                <w:b/>
                <w:color w:val="002060"/>
                <w:sz w:val="24"/>
                <w:szCs w:val="24"/>
                <w:lang w:val="en-GB" w:eastAsia="en-GB"/>
              </w:rPr>
            </w:pPr>
            <w:r w:rsidRPr="00B273BC">
              <w:rPr>
                <w:rFonts w:ascii="Arial" w:eastAsia="TTE2C29DE0t00" w:hAnsi="Arial" w:cs="Arial"/>
                <w:color w:val="002060"/>
                <w:sz w:val="24"/>
                <w:szCs w:val="24"/>
                <w:lang w:val="en-GB"/>
              </w:rPr>
              <w:t>Education for owner a preferred initial step</w:t>
            </w:r>
            <w:r>
              <w:rPr>
                <w:rFonts w:ascii="Arial" w:eastAsia="TTE2C29DE0t00" w:hAnsi="Arial" w:cs="Arial"/>
                <w:color w:val="002060"/>
                <w:sz w:val="24"/>
                <w:szCs w:val="24"/>
                <w:lang w:val="en-GB"/>
              </w:rPr>
              <w:t>.</w:t>
            </w:r>
            <w:r w:rsidRPr="00B273BC">
              <w:rPr>
                <w:rFonts w:ascii="Arial" w:eastAsia="TTE2C29DE0t00" w:hAnsi="Arial" w:cs="Arial"/>
                <w:color w:val="002060"/>
                <w:sz w:val="24"/>
                <w:szCs w:val="24"/>
                <w:lang w:val="en-GB"/>
              </w:rPr>
              <w:t xml:space="preserve"> Improvement notice issued and monitored. If </w:t>
            </w:r>
            <w:r w:rsidRPr="00B273BC">
              <w:rPr>
                <w:rFonts w:ascii="Arial" w:eastAsia="TTE2C29DE0t00" w:hAnsi="Arial" w:cs="Arial"/>
                <w:color w:val="002060"/>
                <w:sz w:val="24"/>
                <w:szCs w:val="24"/>
                <w:lang w:val="en-GB"/>
              </w:rPr>
              <w:lastRenderedPageBreak/>
              <w:t>not complied can lead to a fine or imprisonment</w:t>
            </w:r>
          </w:p>
        </w:tc>
        <w:tc>
          <w:tcPr>
            <w:tcW w:w="5164" w:type="dxa"/>
            <w:tcBorders>
              <w:top w:val="single" w:sz="4" w:space="0" w:color="auto"/>
              <w:bottom w:val="single" w:sz="4" w:space="0" w:color="auto"/>
            </w:tcBorders>
          </w:tcPr>
          <w:p w14:paraId="1D191A23"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lastRenderedPageBreak/>
              <w:t>Cases of Animal mistreatment/ neglect.</w:t>
            </w:r>
          </w:p>
          <w:p w14:paraId="670C799E"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The Act makes it not only against the law to be cruel to an animal, but that a person must ensure that the welfare needs of the animals are met.</w:t>
            </w:r>
          </w:p>
          <w:p w14:paraId="64A2987C" w14:textId="77777777" w:rsidR="001F0979" w:rsidRPr="00B273BC" w:rsidRDefault="001F0979" w:rsidP="00B46925">
            <w:pPr>
              <w:shd w:val="clear" w:color="auto" w:fill="FFFFFF"/>
              <w:spacing w:after="120"/>
              <w:rPr>
                <w:rFonts w:ascii="Arial" w:eastAsia="Times New Roman" w:hAnsi="Arial" w:cs="Arial"/>
                <w:color w:val="002060"/>
                <w:sz w:val="24"/>
                <w:szCs w:val="24"/>
                <w:lang w:val="en" w:eastAsia="en-GB"/>
              </w:rPr>
            </w:pPr>
          </w:p>
        </w:tc>
      </w:tr>
      <w:tr w:rsidR="001F0979" w:rsidRPr="00B273BC" w14:paraId="45359BFC" w14:textId="77777777" w:rsidTr="00B46925">
        <w:tc>
          <w:tcPr>
            <w:tcW w:w="3828" w:type="dxa"/>
            <w:tcBorders>
              <w:top w:val="single" w:sz="4" w:space="0" w:color="auto"/>
              <w:bottom w:val="single" w:sz="4" w:space="0" w:color="auto"/>
            </w:tcBorders>
          </w:tcPr>
          <w:p w14:paraId="1756128D"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lastRenderedPageBreak/>
              <w:t xml:space="preserve">West Mercia Police </w:t>
            </w:r>
          </w:p>
          <w:p w14:paraId="5C126D3C" w14:textId="77777777" w:rsidR="001F0979" w:rsidRPr="00B273BC" w:rsidRDefault="001F0979" w:rsidP="00B46925">
            <w:pPr>
              <w:rPr>
                <w:rFonts w:ascii="Arial" w:hAnsi="Arial" w:cs="Arial"/>
                <w:b/>
                <w:bCs/>
                <w:color w:val="002060"/>
                <w:sz w:val="24"/>
                <w:szCs w:val="24"/>
                <w:lang w:val="en-GB"/>
              </w:rPr>
            </w:pPr>
          </w:p>
          <w:p w14:paraId="49F5719C"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 xml:space="preserve">And </w:t>
            </w:r>
          </w:p>
          <w:p w14:paraId="68144D34" w14:textId="77777777" w:rsidR="001F0979" w:rsidRPr="00B273BC" w:rsidRDefault="001F0979" w:rsidP="00B46925">
            <w:pPr>
              <w:rPr>
                <w:rFonts w:ascii="Arial" w:hAnsi="Arial" w:cs="Arial"/>
                <w:b/>
                <w:bCs/>
                <w:color w:val="002060"/>
                <w:sz w:val="24"/>
                <w:szCs w:val="24"/>
                <w:lang w:val="en-GB"/>
              </w:rPr>
            </w:pPr>
          </w:p>
          <w:p w14:paraId="6DE2B46E"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Approved Mental Health Professionals</w:t>
            </w:r>
          </w:p>
        </w:tc>
        <w:tc>
          <w:tcPr>
            <w:tcW w:w="5245" w:type="dxa"/>
            <w:tcBorders>
              <w:top w:val="single" w:sz="4" w:space="0" w:color="auto"/>
              <w:bottom w:val="single" w:sz="4" w:space="0" w:color="auto"/>
            </w:tcBorders>
          </w:tcPr>
          <w:p w14:paraId="2D30D96C"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Mental Health Act 1983</w:t>
            </w:r>
          </w:p>
          <w:p w14:paraId="4611C8A5"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Section 135(1)</w:t>
            </w:r>
          </w:p>
          <w:p w14:paraId="334B3590"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Provides for a police officer to enter a private premise, if need be by force, to search for and, if though</w:t>
            </w:r>
            <w:r>
              <w:rPr>
                <w:rFonts w:ascii="Arial" w:eastAsia="TTE2C29DE0t00" w:hAnsi="Arial" w:cs="Arial"/>
                <w:color w:val="002060"/>
                <w:sz w:val="24"/>
                <w:szCs w:val="24"/>
                <w:lang w:val="en-GB"/>
              </w:rPr>
              <w:t>t</w:t>
            </w:r>
            <w:r w:rsidRPr="00B273BC">
              <w:rPr>
                <w:rFonts w:ascii="Arial" w:eastAsia="TTE2C29DE0t00" w:hAnsi="Arial" w:cs="Arial"/>
                <w:color w:val="002060"/>
                <w:sz w:val="24"/>
                <w:szCs w:val="24"/>
                <w:lang w:val="en-GB"/>
              </w:rPr>
              <w:t xml:space="preserve"> fit, remove a person to a place of safety if certain grounds are met.</w:t>
            </w:r>
          </w:p>
          <w:p w14:paraId="6752A40F"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The police officer must be accompanied by an Approved Mental Health Professional (AMHP) and a doctor.</w:t>
            </w:r>
          </w:p>
          <w:p w14:paraId="686CCFFA"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eastAsia="TTE2C29DE0t00" w:hAnsi="Arial" w:cs="Arial"/>
                <w:color w:val="002060"/>
                <w:sz w:val="24"/>
                <w:szCs w:val="24"/>
                <w:lang w:val="en-GB"/>
              </w:rPr>
              <w:t>NB. Place of Safety is usually the mental health unit but can be the Emergency Department of a general hospital, or anywhere willing to act as such.</w:t>
            </w:r>
          </w:p>
        </w:tc>
        <w:tc>
          <w:tcPr>
            <w:tcW w:w="5164" w:type="dxa"/>
            <w:tcBorders>
              <w:top w:val="single" w:sz="4" w:space="0" w:color="auto"/>
              <w:bottom w:val="single" w:sz="4" w:space="0" w:color="auto"/>
            </w:tcBorders>
          </w:tcPr>
          <w:p w14:paraId="3173A5AE"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Evidence must be laid before a magistrate by an AMHP that there is reasonable cause to believe that a person is suffering from mental disorder, and is being</w:t>
            </w:r>
          </w:p>
          <w:p w14:paraId="3CA7C15A"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 Ill-treated, or</w:t>
            </w:r>
          </w:p>
          <w:p w14:paraId="0AB17BEE"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 Neglected, or</w:t>
            </w:r>
          </w:p>
          <w:p w14:paraId="55EC11F5"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 Being kept other than under proper control, or</w:t>
            </w:r>
          </w:p>
          <w:p w14:paraId="5C79BC31"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sidRPr="00B273BC">
              <w:rPr>
                <w:rFonts w:ascii="Arial" w:eastAsia="TTE2C29DE0t00" w:hAnsi="Arial" w:cs="Arial"/>
                <w:color w:val="002060"/>
                <w:sz w:val="24"/>
                <w:szCs w:val="24"/>
                <w:lang w:val="en-GB"/>
              </w:rPr>
              <w:t>• If living alone is unable to care for self, and that the action is a proportionate response to the risks involved.</w:t>
            </w:r>
          </w:p>
        </w:tc>
      </w:tr>
      <w:tr w:rsidR="001F0979" w:rsidRPr="00B273BC" w14:paraId="12298BD2" w14:textId="77777777" w:rsidTr="00B46925">
        <w:tc>
          <w:tcPr>
            <w:tcW w:w="3828" w:type="dxa"/>
            <w:tcBorders>
              <w:top w:val="single" w:sz="4" w:space="0" w:color="auto"/>
            </w:tcBorders>
          </w:tcPr>
          <w:p w14:paraId="34ADF9E0" w14:textId="77777777" w:rsidR="001F0979" w:rsidRPr="00B273BC" w:rsidRDefault="001F0979" w:rsidP="00B46925">
            <w:pPr>
              <w:rPr>
                <w:rFonts w:ascii="Arial" w:hAnsi="Arial" w:cs="Arial"/>
                <w:b/>
                <w:bCs/>
                <w:color w:val="002060"/>
                <w:sz w:val="24"/>
                <w:szCs w:val="24"/>
                <w:lang w:val="en-GB"/>
              </w:rPr>
            </w:pPr>
            <w:r w:rsidRPr="00B273BC">
              <w:rPr>
                <w:rFonts w:ascii="Arial" w:hAnsi="Arial" w:cs="Arial"/>
                <w:b/>
                <w:bCs/>
                <w:color w:val="002060"/>
                <w:sz w:val="24"/>
                <w:szCs w:val="24"/>
                <w:lang w:val="en-GB"/>
              </w:rPr>
              <w:t>All</w:t>
            </w:r>
          </w:p>
        </w:tc>
        <w:tc>
          <w:tcPr>
            <w:tcW w:w="5245" w:type="dxa"/>
            <w:tcBorders>
              <w:top w:val="single" w:sz="4" w:space="0" w:color="auto"/>
            </w:tcBorders>
          </w:tcPr>
          <w:p w14:paraId="1157CC5C"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Mental Capacity Act 2005</w:t>
            </w:r>
          </w:p>
          <w:p w14:paraId="7047B1EC" w14:textId="77777777" w:rsidR="001F0979" w:rsidRPr="00B273BC" w:rsidRDefault="001F0979" w:rsidP="00B46925">
            <w:pPr>
              <w:autoSpaceDE w:val="0"/>
              <w:autoSpaceDN w:val="0"/>
              <w:adjustRightInd w:val="0"/>
              <w:rPr>
                <w:rFonts w:ascii="Arial" w:hAnsi="Arial" w:cs="Arial"/>
                <w:color w:val="002060"/>
                <w:sz w:val="24"/>
                <w:szCs w:val="24"/>
                <w:lang w:val="en-GB"/>
              </w:rPr>
            </w:pPr>
            <w:r w:rsidRPr="00B273BC">
              <w:rPr>
                <w:rFonts w:ascii="Arial" w:hAnsi="Arial" w:cs="Arial"/>
                <w:color w:val="002060"/>
                <w:sz w:val="24"/>
                <w:szCs w:val="24"/>
                <w:lang w:val="en-GB"/>
              </w:rPr>
              <w:t xml:space="preserve">A decision can be made about what is in the best interests of a mentally incapacitated person by an appropriate decision-maker under the MCA. It is important to follow the empowering principles of the Act and ensure that any actions taken are the less restrictive option available. </w:t>
            </w:r>
          </w:p>
          <w:p w14:paraId="09819609" w14:textId="77777777" w:rsidR="001F0979" w:rsidRPr="00B273BC" w:rsidRDefault="001F0979" w:rsidP="00B46925">
            <w:pPr>
              <w:autoSpaceDE w:val="0"/>
              <w:autoSpaceDN w:val="0"/>
              <w:adjustRightInd w:val="0"/>
              <w:rPr>
                <w:rFonts w:ascii="Arial" w:hAnsi="Arial" w:cs="Arial"/>
                <w:b/>
                <w:color w:val="002060"/>
                <w:sz w:val="24"/>
                <w:szCs w:val="24"/>
                <w:lang w:val="en-GB"/>
              </w:rPr>
            </w:pPr>
            <w:r w:rsidRPr="00B273BC">
              <w:rPr>
                <w:rFonts w:ascii="Arial" w:hAnsi="Arial" w:cs="Arial"/>
                <w:b/>
                <w:color w:val="002060"/>
                <w:sz w:val="24"/>
                <w:szCs w:val="24"/>
                <w:lang w:val="en-GB"/>
              </w:rPr>
              <w:t xml:space="preserve">NB: </w:t>
            </w:r>
            <w:r w:rsidRPr="00B273BC">
              <w:rPr>
                <w:rFonts w:ascii="Arial" w:hAnsi="Arial" w:cs="Arial"/>
                <w:color w:val="002060"/>
                <w:sz w:val="24"/>
                <w:szCs w:val="24"/>
                <w:lang w:val="en-GB"/>
              </w:rPr>
              <w:t xml:space="preserve">Where the decision is that the person needs to be deprived of their liberty in their best interests, a </w:t>
            </w:r>
            <w:r w:rsidRPr="00B273BC">
              <w:rPr>
                <w:rFonts w:ascii="Arial" w:hAnsi="Arial" w:cs="Arial"/>
                <w:b/>
                <w:color w:val="002060"/>
                <w:sz w:val="24"/>
                <w:szCs w:val="24"/>
                <w:lang w:val="en-GB"/>
              </w:rPr>
              <w:t>Deprivation of Liberty Safeguards (</w:t>
            </w:r>
            <w:proofErr w:type="spellStart"/>
            <w:r w:rsidRPr="00B273BC">
              <w:rPr>
                <w:rFonts w:ascii="Arial" w:hAnsi="Arial" w:cs="Arial"/>
                <w:b/>
                <w:color w:val="002060"/>
                <w:sz w:val="24"/>
                <w:szCs w:val="24"/>
                <w:lang w:val="en-GB"/>
              </w:rPr>
              <w:t>DoLS</w:t>
            </w:r>
            <w:proofErr w:type="spellEnd"/>
            <w:r w:rsidRPr="00B273BC">
              <w:rPr>
                <w:rFonts w:ascii="Arial" w:hAnsi="Arial" w:cs="Arial"/>
                <w:b/>
                <w:color w:val="002060"/>
                <w:sz w:val="24"/>
                <w:szCs w:val="24"/>
                <w:lang w:val="en-GB"/>
              </w:rPr>
              <w:t xml:space="preserve">) </w:t>
            </w:r>
            <w:r w:rsidRPr="00B273BC">
              <w:rPr>
                <w:rFonts w:ascii="Arial" w:hAnsi="Arial" w:cs="Arial"/>
                <w:color w:val="002060"/>
                <w:sz w:val="24"/>
                <w:szCs w:val="24"/>
                <w:lang w:val="en-GB"/>
              </w:rPr>
              <w:t xml:space="preserve">authorisation will be required. In circumstances where a person is objecting to being removed from their home, or to any </w:t>
            </w:r>
            <w:proofErr w:type="spellStart"/>
            <w:r w:rsidRPr="00B273BC">
              <w:rPr>
                <w:rFonts w:ascii="Arial" w:hAnsi="Arial" w:cs="Arial"/>
                <w:color w:val="002060"/>
                <w:sz w:val="24"/>
                <w:szCs w:val="24"/>
                <w:lang w:val="en-GB"/>
              </w:rPr>
              <w:t>DoLS</w:t>
            </w:r>
            <w:proofErr w:type="spellEnd"/>
            <w:r w:rsidRPr="00B273BC">
              <w:rPr>
                <w:rFonts w:ascii="Arial" w:hAnsi="Arial" w:cs="Arial"/>
                <w:color w:val="002060"/>
                <w:sz w:val="24"/>
                <w:szCs w:val="24"/>
                <w:lang w:val="en-GB"/>
              </w:rPr>
              <w:t xml:space="preserve"> authorisation, referral to the </w:t>
            </w:r>
            <w:r w:rsidRPr="00B273BC">
              <w:rPr>
                <w:rFonts w:ascii="Arial" w:hAnsi="Arial" w:cs="Arial"/>
                <w:b/>
                <w:color w:val="002060"/>
                <w:sz w:val="24"/>
                <w:szCs w:val="24"/>
                <w:lang w:val="en-GB"/>
              </w:rPr>
              <w:t xml:space="preserve">Court of Protection </w:t>
            </w:r>
            <w:r w:rsidRPr="00B273BC">
              <w:rPr>
                <w:rFonts w:ascii="Arial" w:hAnsi="Arial" w:cs="Arial"/>
                <w:color w:val="002060"/>
                <w:sz w:val="24"/>
                <w:szCs w:val="24"/>
                <w:lang w:val="en-GB"/>
              </w:rPr>
              <w:t xml:space="preserve">may be needed and legal advice should be sought. </w:t>
            </w:r>
          </w:p>
        </w:tc>
        <w:tc>
          <w:tcPr>
            <w:tcW w:w="5164" w:type="dxa"/>
            <w:tcBorders>
              <w:top w:val="single" w:sz="4" w:space="0" w:color="auto"/>
            </w:tcBorders>
          </w:tcPr>
          <w:p w14:paraId="4B658EF1" w14:textId="77777777" w:rsidR="001F0979" w:rsidRPr="00B273BC" w:rsidRDefault="001F0979" w:rsidP="00B46925">
            <w:pPr>
              <w:autoSpaceDE w:val="0"/>
              <w:autoSpaceDN w:val="0"/>
              <w:adjustRightInd w:val="0"/>
              <w:rPr>
                <w:rFonts w:ascii="Arial" w:eastAsia="TTE2C29DE0t00" w:hAnsi="Arial" w:cs="Arial"/>
                <w:color w:val="002060"/>
                <w:sz w:val="24"/>
                <w:szCs w:val="24"/>
                <w:lang w:val="en-GB"/>
              </w:rPr>
            </w:pPr>
            <w:r>
              <w:rPr>
                <w:rFonts w:ascii="Arial" w:hAnsi="Arial" w:cs="Arial"/>
                <w:color w:val="002060"/>
                <w:sz w:val="24"/>
                <w:szCs w:val="24"/>
                <w:lang w:val="en-GB"/>
              </w:rPr>
              <w:t>When a person does not have the capacity to make their own decision and any of the above apply.</w:t>
            </w:r>
          </w:p>
        </w:tc>
      </w:tr>
    </w:tbl>
    <w:p w14:paraId="5EE5A9B7" w14:textId="77777777" w:rsidR="001F0979" w:rsidRPr="00B273BC" w:rsidRDefault="001F0979" w:rsidP="001F0979">
      <w:pPr>
        <w:spacing w:after="0" w:line="276" w:lineRule="auto"/>
        <w:jc w:val="both"/>
        <w:rPr>
          <w:rFonts w:ascii="Arial" w:hAnsi="Arial" w:cs="Arial"/>
          <w:b/>
          <w:bCs/>
          <w:color w:val="002060"/>
          <w:sz w:val="24"/>
          <w:szCs w:val="24"/>
          <w:lang w:val="en-GB"/>
        </w:rPr>
      </w:pPr>
      <w:r w:rsidRPr="00B273BC">
        <w:rPr>
          <w:rFonts w:ascii="Arial" w:hAnsi="Arial" w:cs="Arial"/>
          <w:b/>
          <w:bCs/>
          <w:color w:val="002060"/>
          <w:sz w:val="24"/>
          <w:szCs w:val="24"/>
          <w:lang w:val="en-GB"/>
        </w:rPr>
        <w:lastRenderedPageBreak/>
        <w:t>Other legal considerations:</w:t>
      </w:r>
    </w:p>
    <w:p w14:paraId="2BACB4B0" w14:textId="77777777" w:rsidR="001F0979" w:rsidRPr="00B273BC" w:rsidRDefault="001F0979" w:rsidP="001F0979">
      <w:pPr>
        <w:spacing w:after="0" w:line="276" w:lineRule="auto"/>
        <w:ind w:left="703" w:hanging="703"/>
        <w:jc w:val="both"/>
        <w:rPr>
          <w:rFonts w:ascii="Arial" w:hAnsi="Arial" w:cs="Arial"/>
          <w:b/>
          <w:bCs/>
          <w:color w:val="002060"/>
          <w:sz w:val="24"/>
          <w:szCs w:val="24"/>
          <w:lang w:val="en-GB"/>
        </w:rPr>
      </w:pPr>
    </w:p>
    <w:p w14:paraId="1B9C8A4C" w14:textId="77777777" w:rsidR="001F0979" w:rsidRPr="00B273BC" w:rsidRDefault="001F0979" w:rsidP="001F0979">
      <w:pPr>
        <w:spacing w:after="0" w:line="240" w:lineRule="auto"/>
        <w:ind w:left="703" w:hanging="703"/>
        <w:jc w:val="both"/>
        <w:rPr>
          <w:rFonts w:ascii="Arial" w:hAnsi="Arial" w:cs="Arial"/>
          <w:b/>
          <w:bCs/>
          <w:color w:val="002060"/>
          <w:sz w:val="24"/>
          <w:szCs w:val="24"/>
          <w:lang w:val="en-GB"/>
        </w:rPr>
      </w:pPr>
      <w:r w:rsidRPr="00B273BC">
        <w:rPr>
          <w:rFonts w:ascii="Arial" w:hAnsi="Arial" w:cs="Arial"/>
          <w:b/>
          <w:bCs/>
          <w:color w:val="002060"/>
          <w:sz w:val="24"/>
          <w:szCs w:val="24"/>
          <w:lang w:val="en-GB"/>
        </w:rPr>
        <w:t xml:space="preserve">Human Rights Act 1998: </w:t>
      </w:r>
    </w:p>
    <w:p w14:paraId="5F724E97" w14:textId="77777777" w:rsidR="001F0979" w:rsidRPr="00B273BC" w:rsidRDefault="001F0979" w:rsidP="001F0979">
      <w:pPr>
        <w:spacing w:after="0" w:line="240" w:lineRule="auto"/>
        <w:jc w:val="both"/>
        <w:rPr>
          <w:rFonts w:ascii="Arial" w:hAnsi="Arial" w:cs="Arial"/>
          <w:bCs/>
          <w:color w:val="002060"/>
          <w:sz w:val="24"/>
          <w:szCs w:val="24"/>
          <w:lang w:val="en-GB"/>
        </w:rPr>
      </w:pPr>
      <w:r w:rsidRPr="00B273BC">
        <w:rPr>
          <w:rFonts w:ascii="Arial" w:hAnsi="Arial" w:cs="Arial"/>
          <w:bCs/>
          <w:color w:val="002060"/>
          <w:sz w:val="24"/>
          <w:szCs w:val="24"/>
          <w:lang w:val="en-GB"/>
        </w:rPr>
        <w:t xml:space="preserve">Public bodies have a positive obligation under the European Convention on Human Rights (ECHR, incorporated into the Human Rights Act 1998 in the UK) to protect the rights of the individual. In cases of self-neglect, articles </w:t>
      </w:r>
      <w:r>
        <w:rPr>
          <w:rFonts w:ascii="Arial" w:hAnsi="Arial" w:cs="Arial"/>
          <w:bCs/>
          <w:color w:val="002060"/>
          <w:sz w:val="24"/>
          <w:szCs w:val="24"/>
          <w:lang w:val="en-GB"/>
        </w:rPr>
        <w:t xml:space="preserve">2 (right to life), 3 (right not to be subjected to inhumane or degrading treatment, </w:t>
      </w:r>
      <w:r w:rsidRPr="00B273BC">
        <w:rPr>
          <w:rFonts w:ascii="Arial" w:hAnsi="Arial" w:cs="Arial"/>
          <w:bCs/>
          <w:color w:val="002060"/>
          <w:sz w:val="24"/>
          <w:szCs w:val="24"/>
          <w:lang w:val="en-GB"/>
        </w:rPr>
        <w:t xml:space="preserve">5 (right to liberty and security) and 8 (right to private and family life) of the ECHR are of importance. </w:t>
      </w:r>
    </w:p>
    <w:p w14:paraId="3F3DCD8C" w14:textId="77777777" w:rsidR="001F0979" w:rsidRPr="00B273BC" w:rsidRDefault="001F0979" w:rsidP="001F0979">
      <w:pPr>
        <w:spacing w:after="0" w:line="240" w:lineRule="auto"/>
        <w:jc w:val="both"/>
        <w:rPr>
          <w:rFonts w:ascii="Arial" w:hAnsi="Arial" w:cs="Arial"/>
          <w:bCs/>
          <w:color w:val="002060"/>
          <w:sz w:val="24"/>
          <w:szCs w:val="24"/>
          <w:lang w:val="en-GB"/>
        </w:rPr>
      </w:pPr>
      <w:r w:rsidRPr="00B273BC">
        <w:rPr>
          <w:rFonts w:ascii="Arial" w:hAnsi="Arial" w:cs="Arial"/>
          <w:bCs/>
          <w:color w:val="002060"/>
          <w:sz w:val="24"/>
          <w:szCs w:val="24"/>
          <w:lang w:val="en-GB"/>
        </w:rPr>
        <w:t xml:space="preserve">These are not absolute rights, i.e. </w:t>
      </w:r>
      <w:r>
        <w:rPr>
          <w:rFonts w:ascii="Arial" w:hAnsi="Arial" w:cs="Arial"/>
          <w:bCs/>
          <w:color w:val="002060"/>
          <w:sz w:val="24"/>
          <w:szCs w:val="24"/>
          <w:lang w:val="en-GB"/>
        </w:rPr>
        <w:t>some</w:t>
      </w:r>
      <w:r w:rsidRPr="00B273BC">
        <w:rPr>
          <w:rFonts w:ascii="Arial" w:hAnsi="Arial" w:cs="Arial"/>
          <w:bCs/>
          <w:color w:val="002060"/>
          <w:sz w:val="24"/>
          <w:szCs w:val="24"/>
          <w:lang w:val="en-GB"/>
        </w:rPr>
        <w:t xml:space="preserve"> can be overridden in certain circumstances. However, any infringement of these rights must be lawful and proportionate, which means that all interventions undertaken must take these rights into consideration. For example, any removal of a person from their home which does not follow a legal process (e.g. under the Mental Capacity or Mental Health Acts) is unlawful and would be challengeable in the Courts. </w:t>
      </w:r>
    </w:p>
    <w:p w14:paraId="410353C5" w14:textId="77777777" w:rsidR="001F0979" w:rsidRPr="00B273BC" w:rsidRDefault="001F0979" w:rsidP="001F0979">
      <w:pPr>
        <w:spacing w:after="0" w:line="240" w:lineRule="auto"/>
        <w:ind w:left="703" w:hanging="703"/>
        <w:jc w:val="both"/>
        <w:rPr>
          <w:rFonts w:ascii="Arial" w:hAnsi="Arial" w:cs="Arial"/>
          <w:bCs/>
          <w:color w:val="002060"/>
          <w:sz w:val="24"/>
          <w:szCs w:val="24"/>
          <w:lang w:val="en-GB"/>
        </w:rPr>
      </w:pPr>
    </w:p>
    <w:p w14:paraId="37B1733A" w14:textId="77777777" w:rsidR="001F0979" w:rsidRPr="00B273BC" w:rsidRDefault="001F0979" w:rsidP="001F0979">
      <w:pPr>
        <w:spacing w:after="0" w:line="240" w:lineRule="auto"/>
        <w:ind w:left="703" w:hanging="703"/>
        <w:jc w:val="both"/>
        <w:rPr>
          <w:rFonts w:ascii="Arial" w:hAnsi="Arial" w:cs="Arial"/>
          <w:b/>
          <w:bCs/>
          <w:color w:val="002060"/>
          <w:sz w:val="24"/>
          <w:szCs w:val="24"/>
          <w:lang w:val="en-GB"/>
        </w:rPr>
      </w:pPr>
      <w:r w:rsidRPr="00B273BC">
        <w:rPr>
          <w:rFonts w:ascii="Arial" w:hAnsi="Arial" w:cs="Arial"/>
          <w:b/>
          <w:bCs/>
          <w:color w:val="002060"/>
          <w:sz w:val="24"/>
          <w:szCs w:val="24"/>
          <w:lang w:val="en-GB"/>
        </w:rPr>
        <w:t xml:space="preserve">Inherent jurisdiction of the High Court: </w:t>
      </w:r>
    </w:p>
    <w:p w14:paraId="2D9E3690" w14:textId="77777777" w:rsidR="001F0979" w:rsidRDefault="001F0979" w:rsidP="001F0979">
      <w:pPr>
        <w:rPr>
          <w:rFonts w:ascii="Arial" w:hAnsi="Arial" w:cs="Arial"/>
          <w:bCs/>
          <w:color w:val="002060"/>
          <w:sz w:val="24"/>
          <w:szCs w:val="24"/>
          <w:lang w:val="en-GB"/>
        </w:rPr>
      </w:pPr>
      <w:r w:rsidRPr="00B273BC">
        <w:rPr>
          <w:rFonts w:ascii="Arial" w:hAnsi="Arial" w:cs="Arial"/>
          <w:bCs/>
          <w:color w:val="002060"/>
          <w:sz w:val="24"/>
          <w:szCs w:val="24"/>
          <w:lang w:val="en-GB"/>
        </w:rPr>
        <w:t>In extreme cases of self-neglect, where a person with capacity is at risk of serious harm or death and refuses all offers of support or interventions or is unduly influenced by someone else, taking the case to the High Court for a decision could be considered. The High Court has powers to intervene in such cases, although the presumption i</w:t>
      </w:r>
      <w:r>
        <w:rPr>
          <w:rFonts w:ascii="Arial" w:hAnsi="Arial" w:cs="Arial"/>
          <w:bCs/>
          <w:color w:val="002060"/>
          <w:sz w:val="24"/>
          <w:szCs w:val="24"/>
          <w:lang w:val="en-GB"/>
        </w:rPr>
        <w:t>s always to protect the person’s human rights.</w:t>
      </w:r>
    </w:p>
    <w:p w14:paraId="299FF886" w14:textId="77777777" w:rsidR="001F0979" w:rsidRPr="008E3987" w:rsidRDefault="001F0979" w:rsidP="001F0979">
      <w:pPr>
        <w:rPr>
          <w:rFonts w:ascii="Arial" w:hAnsi="Arial" w:cs="Arial"/>
          <w:b/>
          <w:color w:val="002060"/>
          <w:sz w:val="24"/>
          <w:szCs w:val="24"/>
          <w:lang w:val="en-GB"/>
        </w:rPr>
      </w:pPr>
      <w:r w:rsidRPr="008E3987">
        <w:rPr>
          <w:rFonts w:ascii="Arial" w:hAnsi="Arial" w:cs="Arial"/>
          <w:b/>
          <w:color w:val="002060"/>
          <w:sz w:val="24"/>
          <w:szCs w:val="24"/>
          <w:lang w:val="en-GB"/>
        </w:rPr>
        <w:t>Mental Health Act (1983)</w:t>
      </w:r>
    </w:p>
    <w:p w14:paraId="790DE7B8" w14:textId="77777777" w:rsidR="001F0979" w:rsidRDefault="001F0979" w:rsidP="001F0979">
      <w:pPr>
        <w:rPr>
          <w:rFonts w:ascii="Arial" w:hAnsi="Arial" w:cs="Arial"/>
        </w:rPr>
      </w:pPr>
      <w:r>
        <w:rPr>
          <w:rFonts w:ascii="Arial" w:hAnsi="Arial" w:cs="Arial"/>
          <w:bCs/>
          <w:color w:val="002060"/>
          <w:sz w:val="24"/>
          <w:szCs w:val="24"/>
          <w:lang w:val="en-GB"/>
        </w:rPr>
        <w:t>For individuals who have a severe and enduring mental illness there are other sections of the Mental Health Act that mental health professionals would able to utilise in specific circumstances to meet the ongoing needs of the person.</w:t>
      </w:r>
    </w:p>
    <w:p w14:paraId="257F8325" w14:textId="77777777" w:rsidR="001F0979" w:rsidRDefault="001F0979" w:rsidP="001F0979">
      <w:pPr>
        <w:rPr>
          <w:rFonts w:ascii="Arial" w:hAnsi="Arial" w:cs="Arial"/>
        </w:rPr>
      </w:pPr>
    </w:p>
    <w:p w14:paraId="1ADF894F" w14:textId="77777777" w:rsidR="001F0979" w:rsidRDefault="001F0979">
      <w:bookmarkStart w:id="1" w:name="_GoBack"/>
      <w:bookmarkEnd w:id="1"/>
    </w:p>
    <w:sectPr w:rsidR="001F0979" w:rsidSect="001F097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2C29DE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F128F"/>
    <w:multiLevelType w:val="hybridMultilevel"/>
    <w:tmpl w:val="66A2F1E8"/>
    <w:lvl w:ilvl="0" w:tplc="94CE23D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57806"/>
    <w:multiLevelType w:val="hybridMultilevel"/>
    <w:tmpl w:val="7F7A10CE"/>
    <w:lvl w:ilvl="0" w:tplc="CC78D6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79"/>
    <w:rsid w:val="001F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F023"/>
  <w15:chartTrackingRefBased/>
  <w15:docId w15:val="{6AE98D80-87C5-438E-8002-B90B575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1F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0B959AAC4DF4ABD8365A0754AF0C0" ma:contentTypeVersion="17" ma:contentTypeDescription="Create a new document." ma:contentTypeScope="" ma:versionID="b1f7518530caa08ca386bb8d15dddbf8">
  <xsd:schema xmlns:xsd="http://www.w3.org/2001/XMLSchema" xmlns:xs="http://www.w3.org/2001/XMLSchema" xmlns:p="http://schemas.microsoft.com/office/2006/metadata/properties" xmlns:ns3="ac661489-dae6-4a38-a3ce-97146a6b76b5" xmlns:ns4="868f3fa1-4373-4b93-ba8c-3b212094e5fd" targetNamespace="http://schemas.microsoft.com/office/2006/metadata/properties" ma:root="true" ma:fieldsID="9046fdb72d2ed4187e9e2d49f023cc4f" ns3:_="" ns4:_="">
    <xsd:import namespace="ac661489-dae6-4a38-a3ce-97146a6b76b5"/>
    <xsd:import namespace="868f3fa1-4373-4b93-ba8c-3b212094e5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1489-dae6-4a38-a3ce-97146a6b7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f3fa1-4373-4b93-ba8c-3b212094e5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661489-dae6-4a38-a3ce-97146a6b76b5" xsi:nil="true"/>
  </documentManagement>
</p:properties>
</file>

<file path=customXml/itemProps1.xml><?xml version="1.0" encoding="utf-8"?>
<ds:datastoreItem xmlns:ds="http://schemas.openxmlformats.org/officeDocument/2006/customXml" ds:itemID="{AFBE97F9-48DC-404C-881B-860941CA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1489-dae6-4a38-a3ce-97146a6b76b5"/>
    <ds:schemaRef ds:uri="868f3fa1-4373-4b93-ba8c-3b212094e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8E2D7-AE24-4511-95DE-9602A0049173}">
  <ds:schemaRefs>
    <ds:schemaRef ds:uri="http://schemas.microsoft.com/sharepoint/v3/contenttype/forms"/>
  </ds:schemaRefs>
</ds:datastoreItem>
</file>

<file path=customXml/itemProps3.xml><?xml version="1.0" encoding="utf-8"?>
<ds:datastoreItem xmlns:ds="http://schemas.openxmlformats.org/officeDocument/2006/customXml" ds:itemID="{C017637D-8AB8-4B98-9E72-00D5D7209236}">
  <ds:schemaRefs>
    <ds:schemaRef ds:uri="http://schemas.microsoft.com/office/2006/metadata/properties"/>
    <ds:schemaRef ds:uri="http://schemas.microsoft.com/office/infopath/2007/PartnerControls"/>
    <ds:schemaRef ds:uri="ac661489-dae6-4a38-a3ce-97146a6b76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9485</Characters>
  <Application>Microsoft Office Word</Application>
  <DocSecurity>0</DocSecurity>
  <Lines>79</Lines>
  <Paragraphs>22</Paragraphs>
  <ScaleCrop>false</ScaleCrop>
  <Company>Shropshire Council</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Gardner</dc:creator>
  <cp:keywords/>
  <dc:description/>
  <cp:lastModifiedBy>Lisa Gardner</cp:lastModifiedBy>
  <cp:revision>1</cp:revision>
  <dcterms:created xsi:type="dcterms:W3CDTF">2024-06-17T09:22:00Z</dcterms:created>
  <dcterms:modified xsi:type="dcterms:W3CDTF">2024-06-17T09:23:00Z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0x0101001CA0B959AAC4DF4ABD8365A0754AF0C0</vt:lpwstr>
  </property>
</Properties>
</file>